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4AFD9">
      <w:pPr>
        <w:tabs>
          <w:tab w:val="left" w:pos="2205"/>
        </w:tabs>
        <w:ind w:firstLine="3855" w:firstLineChars="120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招标公告</w:t>
      </w:r>
    </w:p>
    <w:p w14:paraId="6E9183B6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  <w:lang w:val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zh-CN" w:bidi="zh-CN"/>
        </w:rPr>
        <w:t>本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zh-CN"/>
        </w:rPr>
        <w:t>招标项目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柞水县人民医院门诊医技楼综合项目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zh-CN"/>
        </w:rPr>
        <w:t>已具备招标条件，现对</w:t>
      </w:r>
    </w:p>
    <w:p w14:paraId="374BD36C">
      <w:pPr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lang w:val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u w:val="single"/>
          <w:lang w:val="en-US" w:eastAsia="zh-CN"/>
        </w:rPr>
        <w:t>医疗专项范围的装修及安装工程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专业分包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zh-CN"/>
        </w:rPr>
        <w:t>进行公开招标。</w:t>
      </w:r>
    </w:p>
    <w:p w14:paraId="3C54DF09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1、工程概况：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该项目为框架结构，总面积约21693.81㎡；其中：地上15547.79㎡，地下6052.52㎡。</w:t>
      </w:r>
    </w:p>
    <w:p w14:paraId="0732D815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2、工程地点：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柞水县人民医院院内；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</w:t>
      </w:r>
    </w:p>
    <w:p w14:paraId="4C112A81">
      <w:pPr>
        <w:spacing w:line="360" w:lineRule="auto"/>
        <w:ind w:left="566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3、招标数量：      </w:t>
      </w:r>
    </w:p>
    <w:p w14:paraId="13FCA5CE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3.1拟招标规格数量（适用于物资、机械的采购和租赁）：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/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</w:t>
      </w:r>
    </w:p>
    <w:p w14:paraId="493A5788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3.2拟招标规格数量（适用于劳务、专业分包）：</w:t>
      </w:r>
    </w:p>
    <w:tbl>
      <w:tblPr>
        <w:tblStyle w:val="8"/>
        <w:tblW w:w="10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37"/>
        <w:gridCol w:w="765"/>
        <w:gridCol w:w="960"/>
        <w:gridCol w:w="1080"/>
        <w:gridCol w:w="1320"/>
        <w:gridCol w:w="1290"/>
        <w:gridCol w:w="2756"/>
      </w:tblGrid>
      <w:tr w14:paraId="3A65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348C2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B69B7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计价项目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55856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计量单位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DA91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工程量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E6928">
            <w:pPr>
              <w:spacing w:line="360" w:lineRule="auto"/>
              <w:jc w:val="center"/>
              <w:rPr>
                <w:rFonts w:hint="default" w:ascii="宋体" w:hAnsi="宋体" w:eastAsia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val="en-US" w:eastAsia="zh-CN"/>
              </w:rPr>
              <w:t>下浮率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0980E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不含税单价（元）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415B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不含税总价（元）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05D6D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品牌要求</w:t>
            </w:r>
          </w:p>
        </w:tc>
      </w:tr>
      <w:tr w14:paraId="1D098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74857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22DB5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医疗专项区域的装饰装修工程、安装工程（具体做法详见图纸）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E008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项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A299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ACD6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04F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B22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D08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u w:val="none"/>
                <w:lang w:eastAsia="zh-CN"/>
              </w:rPr>
              <w:t>安装的材料品牌要求：（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u w:val="none"/>
                <w:lang w:eastAsia="zh-CN"/>
              </w:rPr>
              <w:t>）电缆电线：林强、正泰、鸿雁、津成、上上、瑞强；（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u w:val="none"/>
                <w:lang w:eastAsia="zh-CN"/>
              </w:rPr>
              <w:t>）灯具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:松下、欧普、三雄极光、雷士、江苏天楹、飞利浦；（3）配电箱：上海人民、正泰、天水213；（4）开关、插座：鸿雁、TCL、飞雕、欧普、西蒙、西门子；（5）钢管：天津君诚、友发、利达；（6）给、排水管（含管件）、电工套管：联塑、高科、中财；（7）阀门：飞环、玉环、艺创、中玉；（8）电梯：通力、迅达、西子奥的斯。</w:t>
            </w:r>
          </w:p>
        </w:tc>
      </w:tr>
      <w:tr w14:paraId="2DC5D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704" w:type="dxa"/>
            <w:vAlign w:val="center"/>
          </w:tcPr>
          <w:p w14:paraId="2A247341">
            <w:pPr>
              <w:spacing w:line="360" w:lineRule="auto"/>
              <w:jc w:val="center"/>
              <w:rPr>
                <w:rFonts w:hint="eastAsia"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合计</w:t>
            </w:r>
          </w:p>
        </w:tc>
        <w:tc>
          <w:tcPr>
            <w:tcW w:w="9608" w:type="dxa"/>
            <w:gridSpan w:val="7"/>
            <w:vAlign w:val="center"/>
          </w:tcPr>
          <w:p w14:paraId="686263CB">
            <w:pPr>
              <w:spacing w:line="360" w:lineRule="auto"/>
              <w:jc w:val="both"/>
              <w:rPr>
                <w:rFonts w:hint="eastAsia"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预计不含税总价：小写（人民币）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single"/>
              </w:rPr>
              <w:t xml:space="preserve">   </w:t>
            </w:r>
            <w:r>
              <w:rPr>
                <w:rFonts w:ascii="宋体" w:hAnsi="宋体"/>
                <w:sz w:val="18"/>
                <w:szCs w:val="18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none"/>
              </w:rPr>
              <w:t>元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 xml:space="preserve">    大写（人民币）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single"/>
              </w:rPr>
              <w:t xml:space="preserve">      </w:t>
            </w:r>
            <w:r>
              <w:rPr>
                <w:rFonts w:ascii="宋体" w:hAnsi="宋体"/>
                <w:sz w:val="18"/>
                <w:szCs w:val="1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元</w:t>
            </w:r>
          </w:p>
          <w:p w14:paraId="36FB19A1">
            <w:pPr>
              <w:spacing w:line="360" w:lineRule="auto"/>
              <w:jc w:val="both"/>
              <w:rPr>
                <w:rFonts w:hint="eastAsia" w:ascii="宋体" w:hAnsi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预计含税总价：小写（人民币）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single"/>
              </w:rPr>
              <w:t xml:space="preserve">    </w:t>
            </w:r>
            <w:r>
              <w:rPr>
                <w:rFonts w:ascii="宋体" w:hAnsi="宋体"/>
                <w:sz w:val="18"/>
                <w:szCs w:val="18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元    大写（人民币）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single"/>
              </w:rPr>
              <w:t xml:space="preserve">        </w:t>
            </w:r>
            <w:r>
              <w:rPr>
                <w:rFonts w:ascii="宋体" w:hAnsi="宋体"/>
                <w:sz w:val="18"/>
                <w:szCs w:val="18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18"/>
                <w:szCs w:val="18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18"/>
                <w:szCs w:val="18"/>
                <w:highlight w:val="none"/>
              </w:rPr>
              <w:t>元</w:t>
            </w:r>
          </w:p>
        </w:tc>
      </w:tr>
      <w:tr w14:paraId="7FA4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5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697C2">
            <w:pPr>
              <w:spacing w:line="360" w:lineRule="auto"/>
              <w:jc w:val="center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备注</w:t>
            </w:r>
          </w:p>
        </w:tc>
        <w:tc>
          <w:tcPr>
            <w:tcW w:w="96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1F176">
            <w:pPr>
              <w:spacing w:line="360" w:lineRule="auto"/>
              <w:jc w:val="left"/>
              <w:rPr>
                <w:rFonts w:hint="eastAsia"/>
                <w:highlight w:val="none"/>
              </w:rPr>
            </w:pP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、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投标单位根据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招标暂定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含税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总价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3552563.68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元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，上报下浮率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highlight w:val="none"/>
                <w:u w:val="none"/>
                <w:lang w:val="en-US" w:eastAsia="zh-CN" w:bidi="ar-SA"/>
              </w:rPr>
              <w:t>%</w:t>
            </w:r>
            <w:r>
              <w:rPr>
                <w:rFonts w:hint="eastAsia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，合理低价中标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  <w:t>。</w:t>
            </w:r>
          </w:p>
          <w:p w14:paraId="4381779D">
            <w:pPr>
              <w:spacing w:line="360" w:lineRule="auto"/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  <w:r>
              <w:rPr>
                <w:rFonts w:hint="eastAsia"/>
                <w:highlight w:val="none"/>
              </w:rPr>
              <w:t>、与上述各“计价项目”有关的措施费、规费及税金，包括劳保统筹费（用于中标单位为其人员缴纳养老保险费用或支付养老补贴）、安全生产费用（用于中标单位对其人员进行安全教育、安全管理、配备安全防护用品、制作安装拆除安全防护设施及采取其他安全措施）</w:t>
            </w:r>
            <w:r>
              <w:rPr>
                <w:rFonts w:hint="eastAsia"/>
                <w:highlight w:val="none"/>
                <w:lang w:eastAsia="zh-CN"/>
              </w:rPr>
              <w:t>、</w:t>
            </w:r>
            <w:r>
              <w:rPr>
                <w:rFonts w:hint="eastAsia"/>
                <w:highlight w:val="none"/>
                <w:lang w:val="en-US" w:eastAsia="zh-CN"/>
              </w:rPr>
              <w:t>检验试验费，验收费用等</w:t>
            </w:r>
            <w:r>
              <w:rPr>
                <w:rFonts w:hint="eastAsia"/>
                <w:highlight w:val="none"/>
              </w:rPr>
              <w:t>，均已含入以上各项价格，不再另行计取。</w:t>
            </w:r>
          </w:p>
          <w:p w14:paraId="18B369A9">
            <w:pPr>
              <w:spacing w:line="360" w:lineRule="auto"/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highlight w:val="none"/>
              </w:rPr>
              <w:t>、本项目计税方式确定为 一般计税法。上述各“计价项目”均为含税价，其中，增值税税率为</w:t>
            </w:r>
            <w:r>
              <w:rPr>
                <w:rFonts w:hint="eastAsia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highlight w:val="none"/>
                <w:u w:val="single"/>
                <w:lang w:val="en-US" w:eastAsia="zh-CN"/>
              </w:rPr>
              <w:t xml:space="preserve">  9   </w:t>
            </w:r>
            <w:r>
              <w:rPr>
                <w:rFonts w:hint="eastAsia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highlight w:val="none"/>
              </w:rPr>
              <w:t>% ，中标单位应向招标单位提供增值税专用发票。</w:t>
            </w:r>
          </w:p>
          <w:p w14:paraId="6A97682F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highlight w:val="none"/>
              </w:rPr>
              <w:t>、合同总价已考虑风险，不再另行支付零星用工。以上内容要做到工完场清，若是由于中标单位原因，导致政府相关部门开具的罚款，由中标单位负责，同时中标单位要无偿</w:t>
            </w:r>
            <w:r>
              <w:rPr>
                <w:rFonts w:hint="eastAsia"/>
              </w:rPr>
              <w:t>配合招标单位提出关于环境污染采取的措施工作。</w:t>
            </w:r>
          </w:p>
          <w:p w14:paraId="7B7F1A90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、中标单位应配合招标单位施工，若不服从管理招标单位有权扣款。</w:t>
            </w:r>
          </w:p>
          <w:p w14:paraId="22C7AE04">
            <w:pPr>
              <w:spacing w:line="360" w:lineRule="auto"/>
              <w:jc w:val="left"/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、招标单位有对本工程增减工程量及变更工作内容的权利。</w:t>
            </w:r>
          </w:p>
          <w:p w14:paraId="777A515B">
            <w:p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7</w:t>
            </w:r>
            <w:r>
              <w:rPr>
                <w:rFonts w:hint="eastAsia"/>
                <w:highlight w:val="none"/>
              </w:rPr>
              <w:t>、此工程施工过程中产生</w:t>
            </w:r>
            <w:r>
              <w:rPr>
                <w:rFonts w:hint="eastAsia"/>
                <w:highlight w:val="none"/>
                <w:lang w:val="en-US" w:eastAsia="zh-CN"/>
              </w:rPr>
              <w:t>的</w:t>
            </w:r>
            <w:r>
              <w:rPr>
                <w:rFonts w:hint="eastAsia"/>
                <w:highlight w:val="none"/>
              </w:rPr>
              <w:t>水、电费由</w:t>
            </w:r>
            <w:r>
              <w:rPr>
                <w:rFonts w:hint="eastAsia"/>
                <w:highlight w:val="none"/>
                <w:lang w:val="en-US" w:eastAsia="zh-CN"/>
              </w:rPr>
              <w:t>投</w:t>
            </w:r>
            <w:r>
              <w:rPr>
                <w:rFonts w:hint="eastAsia"/>
                <w:highlight w:val="none"/>
              </w:rPr>
              <w:t>标单位负责。</w:t>
            </w:r>
          </w:p>
        </w:tc>
      </w:tr>
    </w:tbl>
    <w:p w14:paraId="29CA70DA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投标人资格要求：</w:t>
      </w:r>
    </w:p>
    <w:p w14:paraId="7309AD81">
      <w:pPr>
        <w:ind w:left="210" w:leftChars="100" w:firstLine="331" w:firstLineChars="138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投标单位必须在陕建云采电子商务平台注册并通过审核（网址：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instrText xml:space="preserve"> HYPERLINK "http://sjtb.gldcg.com)。" </w:instrTex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fldChar w:fldCharType="separate"/>
      </w:r>
      <w:r>
        <w:rPr>
          <w:rStyle w:val="10"/>
          <w:rFonts w:hint="eastAsia" w:asciiTheme="minorEastAsia" w:hAnsiTheme="minorEastAsia" w:eastAsiaTheme="minorEastAsia" w:cstheme="minorEastAsia"/>
          <w:sz w:val="24"/>
          <w:szCs w:val="24"/>
        </w:rPr>
        <w:t>https://</w:t>
      </w:r>
      <w:r>
        <w:rPr>
          <w:rStyle w:val="10"/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www.</w:t>
      </w:r>
      <w:r>
        <w:rPr>
          <w:rStyle w:val="10"/>
          <w:rFonts w:hint="eastAsia" w:asciiTheme="minorEastAsia" w:hAnsiTheme="minorEastAsia" w:eastAsiaTheme="minorEastAsia" w:cstheme="minorEastAsia"/>
          <w:sz w:val="24"/>
          <w:szCs w:val="24"/>
        </w:rPr>
        <w:t>.sjyunc.com</w:t>
      </w:r>
      <w:r>
        <w:rPr>
          <w:rStyle w:val="10"/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)</w:t>
      </w:r>
      <w:r>
        <w:rPr>
          <w:rStyle w:val="10"/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r>
        <w:rPr>
          <w:rStyle w:val="10"/>
          <w:rFonts w:hint="eastAsia" w:asciiTheme="minorEastAsia" w:hAnsiTheme="minorEastAsia" w:eastAsiaTheme="minorEastAsia" w:cstheme="minorEastAsia"/>
          <w:sz w:val="24"/>
          <w:szCs w:val="24"/>
        </w:rPr>
        <w:fldChar w:fldCharType="end"/>
      </w:r>
    </w:p>
    <w:p w14:paraId="7AD59155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4.2企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业法人营业执照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；</w:t>
      </w:r>
    </w:p>
    <w:p w14:paraId="523E5B73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4.3开户许可证;</w:t>
      </w:r>
    </w:p>
    <w:p w14:paraId="2EFD8205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4.4近一年度财务报表;</w:t>
      </w:r>
    </w:p>
    <w:p w14:paraId="4287F322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4.5法人委托授权书及被委托人身份证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、法人身份证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；</w:t>
      </w:r>
    </w:p>
    <w:p w14:paraId="50B668CF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4.6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具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备</w:t>
      </w:r>
      <w:r>
        <w:rPr>
          <w:rFonts w:hint="eastAsia" w:ascii="宋体" w:hAnsi="宋体"/>
          <w:color w:val="auto"/>
          <w:sz w:val="24"/>
          <w:highlight w:val="none"/>
          <w:u w:val="none"/>
          <w:lang w:val="en-US" w:eastAsia="zh-CN"/>
        </w:rPr>
        <w:t>建筑装修装饰工程专业承包二级、建筑机电安装工程专业承包三级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施工资质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</w:t>
      </w:r>
    </w:p>
    <w:p w14:paraId="11E556E3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招标文件的获取：</w:t>
      </w:r>
    </w:p>
    <w:p w14:paraId="392F6109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招标文件发放时间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以平台为准，请留意平台信息或联系招标管理员谭宝锋15353588690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；招标文件发放为陕建云采集采招标平台。</w:t>
      </w:r>
    </w:p>
    <w:p w14:paraId="3DB23CDA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6、投标文件递交截止时间和开标时间：电话另行通知，投标文件应予投标截止日前完成网投。</w:t>
      </w:r>
    </w:p>
    <w:p w14:paraId="5EA54B87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7、开标地点：陕建云采集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t>采招标平台(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投标截止日之后送达或不符合规定的投标文件将被拒绝)。</w:t>
      </w:r>
    </w:p>
    <w:p w14:paraId="511EDBA2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8、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标书费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缴纳方式：资格预审通过后，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各单位需缴纳标书费500.00元，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领招标文件前，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以公对公/现金形式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向招标人项目所隶属的财务部缴纳。</w:t>
      </w:r>
    </w:p>
    <w:p w14:paraId="174F635D">
      <w:pPr>
        <w:spacing w:line="360" w:lineRule="auto"/>
        <w:ind w:firstLine="580" w:firstLineChars="242"/>
        <w:rPr>
          <w:rFonts w:hint="eastAsia" w:ascii="宋体" w:hAnsi="宋体"/>
          <w:color w:val="auto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未按时交纳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标书费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的单</w:t>
      </w:r>
      <w:r>
        <w:rPr>
          <w:rFonts w:hint="eastAsia" w:ascii="宋体" w:hAnsi="宋体"/>
          <w:color w:val="auto"/>
          <w:sz w:val="24"/>
        </w:rPr>
        <w:t>位，招标人将拒绝其参与投标。</w:t>
      </w:r>
    </w:p>
    <w:p w14:paraId="7810DECB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本工程为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分包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招标，我公司不接受以联合体投标的形式。</w:t>
      </w:r>
    </w:p>
    <w:p w14:paraId="2EAC5D7A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10、 联系方式： 招标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柞水县人民医院门诊医技楼综合项目</w:t>
      </w:r>
    </w:p>
    <w:p w14:paraId="0E7A3924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柞水县人民医院院内</w:t>
      </w:r>
    </w:p>
    <w:p w14:paraId="06A21F9A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联系人：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谭宝锋</w:t>
      </w:r>
    </w:p>
    <w:p w14:paraId="5090CE87">
      <w:pPr>
        <w:spacing w:line="360" w:lineRule="auto"/>
        <w:ind w:firstLine="580" w:firstLineChars="24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>联系电话：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15353588690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</w:t>
      </w:r>
    </w:p>
    <w:p w14:paraId="4ACD586E">
      <w:pPr>
        <w:spacing w:line="360" w:lineRule="auto"/>
        <w:ind w:left="4830" w:hanging="5520" w:hangingChars="230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    陕西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建工集团股份有限公司工程三部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</w:p>
    <w:p w14:paraId="624C93D2">
      <w:pPr>
        <w:spacing w:line="360" w:lineRule="auto"/>
        <w:ind w:left="4830" w:hanging="5520" w:hangingChars="2300"/>
        <w:jc w:val="center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柞水县人民医院门诊医技楼综合项目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理部                                     </w:t>
      </w:r>
    </w:p>
    <w:p w14:paraId="796CB10E">
      <w:pPr>
        <w:spacing w:line="360" w:lineRule="auto"/>
        <w:ind w:left="4830" w:hanging="5520" w:hangingChars="23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     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2026年7月17日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长城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MTY0NTU5MWQ2YTM2NWU3NjM5M2JmYThkM2U4YWQifQ=="/>
  </w:docVars>
  <w:rsids>
    <w:rsidRoot w:val="00000000"/>
    <w:rsid w:val="079F6DDA"/>
    <w:rsid w:val="07DF692A"/>
    <w:rsid w:val="080C7D7C"/>
    <w:rsid w:val="0857243A"/>
    <w:rsid w:val="17047A5D"/>
    <w:rsid w:val="1AD31C39"/>
    <w:rsid w:val="1D6D0F22"/>
    <w:rsid w:val="1EEA2E2A"/>
    <w:rsid w:val="244D0378"/>
    <w:rsid w:val="2A3915A1"/>
    <w:rsid w:val="31CF4A6C"/>
    <w:rsid w:val="3291437A"/>
    <w:rsid w:val="35634195"/>
    <w:rsid w:val="3FA04083"/>
    <w:rsid w:val="3FDC7C1A"/>
    <w:rsid w:val="418851BB"/>
    <w:rsid w:val="44B1130C"/>
    <w:rsid w:val="4F861BFA"/>
    <w:rsid w:val="505479DB"/>
    <w:rsid w:val="5778140B"/>
    <w:rsid w:val="5F0F26A4"/>
    <w:rsid w:val="62EF6A7F"/>
    <w:rsid w:val="68206C39"/>
    <w:rsid w:val="6AC61008"/>
    <w:rsid w:val="70553DF8"/>
    <w:rsid w:val="7835127A"/>
    <w:rsid w:val="7B342B62"/>
    <w:rsid w:val="7C247FB7"/>
    <w:rsid w:val="7D817A70"/>
    <w:rsid w:val="7E11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widowControl/>
      <w:spacing w:after="120"/>
      <w:ind w:left="420" w:leftChars="200"/>
      <w:jc w:val="left"/>
    </w:pPr>
    <w:rPr>
      <w:kern w:val="0"/>
      <w:sz w:val="20"/>
      <w:szCs w:val="20"/>
    </w:rPr>
  </w:style>
  <w:style w:type="paragraph" w:styleId="4">
    <w:name w:val="Normal Indent"/>
    <w:basedOn w:val="1"/>
    <w:next w:val="1"/>
    <w:qFormat/>
    <w:uiPriority w:val="0"/>
    <w:pPr>
      <w:spacing w:line="360" w:lineRule="auto"/>
      <w:ind w:firstLine="200" w:firstLineChars="200"/>
    </w:pPr>
    <w:rPr>
      <w:sz w:val="24"/>
    </w:rPr>
  </w:style>
  <w:style w:type="paragraph" w:styleId="5">
    <w:name w:val="Document Map"/>
    <w:basedOn w:val="1"/>
    <w:unhideWhenUsed/>
    <w:qFormat/>
    <w:uiPriority w:val="99"/>
  </w:style>
  <w:style w:type="paragraph" w:styleId="6">
    <w:name w:val="Body Text"/>
    <w:basedOn w:val="1"/>
    <w:qFormat/>
    <w:uiPriority w:val="0"/>
    <w:rPr>
      <w:rFonts w:eastAsia="长城黑体"/>
      <w:sz w:val="44"/>
      <w:szCs w:val="20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99"/>
    <w:rPr>
      <w:color w:val="0000FF"/>
      <w:u w:val="single"/>
    </w:rPr>
  </w:style>
  <w:style w:type="paragraph" w:customStyle="1" w:styleId="11">
    <w:name w:val="Char"/>
    <w:basedOn w:val="1"/>
    <w:qFormat/>
    <w:uiPriority w:val="0"/>
    <w:pPr>
      <w:widowControl/>
      <w:spacing w:line="240" w:lineRule="exact"/>
      <w:jc w:val="left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1380</Words>
  <Characters>1482</Characters>
  <Lines>0</Lines>
  <Paragraphs>0</Paragraphs>
  <TotalTime>0</TotalTime>
  <ScaleCrop>false</ScaleCrop>
  <LinksUpToDate>false</LinksUpToDate>
  <CharactersWithSpaces>1758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天方夜谭</cp:lastModifiedBy>
  <dcterms:modified xsi:type="dcterms:W3CDTF">2026-07-17T07:59:33Z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75ED8E38E9954B8AAF1C367A46DA5667</vt:lpwstr>
  </property>
  <property fmtid="{D5CDD505-2E9C-101B-9397-08002B2CF9AE}" pid="4" name="KSOTemplateDocerSaveRecord">
    <vt:lpwstr>eyJoZGlkIjoiYjU5N2Q5MzQwZjNhZTZlOTlmZTFmYWM1YjI2N2UxNDAiLCJ1c2VySWQiOiIzMjQwNDgwMDAifQ==</vt:lpwstr>
  </property>
</Properties>
</file>