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4AFD9">
      <w:pPr>
        <w:tabs>
          <w:tab w:val="left" w:pos="2205"/>
        </w:tabs>
        <w:ind w:firstLine="3855" w:firstLineChars="1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32"/>
          <w:szCs w:val="32"/>
        </w:rPr>
        <w:t>招标公告</w:t>
      </w:r>
    </w:p>
    <w:p w14:paraId="6E9183B6">
      <w:pPr>
        <w:spacing w:line="360" w:lineRule="auto"/>
        <w:ind w:firstLine="580" w:firstLineChars="242"/>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bidi="zh-CN"/>
        </w:rPr>
        <w:t>本</w:t>
      </w:r>
      <w:r>
        <w:rPr>
          <w:rFonts w:hint="eastAsia" w:asciiTheme="minorEastAsia" w:hAnsiTheme="minorEastAsia" w:eastAsiaTheme="minorEastAsia" w:cstheme="minorEastAsia"/>
          <w:sz w:val="24"/>
          <w:szCs w:val="24"/>
          <w:lang w:val="zh-CN"/>
        </w:rPr>
        <w:t>招标项目</w:t>
      </w:r>
      <w:r>
        <w:rPr>
          <w:rFonts w:hint="eastAsia" w:asciiTheme="minorEastAsia" w:hAnsiTheme="minorEastAsia" w:eastAsiaTheme="minorEastAsia" w:cstheme="minorEastAsia"/>
          <w:sz w:val="24"/>
          <w:szCs w:val="24"/>
          <w:lang w:val="en-US" w:eastAsia="zh-CN"/>
        </w:rPr>
        <w:t>柞水县人民医院门诊医技楼综合项目</w:t>
      </w:r>
      <w:r>
        <w:rPr>
          <w:rFonts w:hint="eastAsia" w:asciiTheme="minorEastAsia" w:hAnsiTheme="minorEastAsia" w:eastAsiaTheme="minorEastAsia" w:cstheme="minorEastAsia"/>
          <w:sz w:val="24"/>
          <w:szCs w:val="24"/>
          <w:lang w:val="zh-CN"/>
        </w:rPr>
        <w:t>已具备招标条件，现对</w:t>
      </w:r>
    </w:p>
    <w:p w14:paraId="374BD36C">
      <w:pPr>
        <w:spacing w:line="360" w:lineRule="auto"/>
        <w:rPr>
          <w:rFonts w:hint="eastAsia" w:asciiTheme="minorEastAsia" w:hAnsiTheme="minorEastAsia" w:eastAsiaTheme="minorEastAsia" w:cstheme="minorEastAsia"/>
          <w:sz w:val="24"/>
          <w:szCs w:val="24"/>
          <w:lang w:val="zh-CN"/>
        </w:rPr>
      </w:pPr>
      <w:r>
        <w:rPr>
          <w:rFonts w:hint="eastAsia" w:ascii="宋体" w:hAnsi="宋体"/>
          <w:color w:val="auto"/>
          <w:sz w:val="24"/>
          <w:highlight w:val="none"/>
          <w:u w:val="single"/>
          <w:lang w:val="en-US" w:eastAsia="zh-CN"/>
        </w:rPr>
        <w:t>拆除工程</w:t>
      </w:r>
      <w:r>
        <w:rPr>
          <w:rFonts w:hint="eastAsia" w:ascii="宋体" w:hAnsi="宋体"/>
          <w:color w:val="auto"/>
          <w:sz w:val="24"/>
          <w:highlight w:val="none"/>
          <w:u w:val="single"/>
        </w:rPr>
        <w:t>专业分包</w:t>
      </w:r>
      <w:r>
        <w:rPr>
          <w:rFonts w:hint="eastAsia" w:asciiTheme="minorEastAsia" w:hAnsiTheme="minorEastAsia" w:eastAsiaTheme="minorEastAsia" w:cstheme="minorEastAsia"/>
          <w:sz w:val="24"/>
          <w:szCs w:val="24"/>
          <w:lang w:val="zh-CN"/>
        </w:rPr>
        <w:t>进行公开招标。</w:t>
      </w:r>
    </w:p>
    <w:p w14:paraId="3C54DF09">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1、工程概况：</w:t>
      </w:r>
      <w:r>
        <w:rPr>
          <w:rFonts w:hint="eastAsia" w:asciiTheme="minorEastAsia" w:hAnsiTheme="minorEastAsia" w:eastAsiaTheme="minorEastAsia" w:cstheme="minorEastAsia"/>
          <w:sz w:val="24"/>
          <w:szCs w:val="24"/>
          <w:lang w:val="en-US" w:eastAsia="zh-CN"/>
        </w:rPr>
        <w:t>该项目为框架结构，总面积约21693.81㎡；其中：地上15547.79㎡，地下6052.52㎡。</w:t>
      </w:r>
    </w:p>
    <w:p w14:paraId="0732D815">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2、工程地点：</w:t>
      </w:r>
      <w:r>
        <w:rPr>
          <w:rFonts w:hint="eastAsia" w:asciiTheme="minorEastAsia" w:hAnsiTheme="minorEastAsia" w:eastAsiaTheme="minorEastAsia" w:cstheme="minorEastAsia"/>
          <w:sz w:val="24"/>
          <w:szCs w:val="24"/>
          <w:lang w:val="en-US" w:eastAsia="zh-CN"/>
        </w:rPr>
        <w:t>柞水县人民医院院内；</w:t>
      </w:r>
      <w:r>
        <w:rPr>
          <w:rFonts w:hint="eastAsia" w:asciiTheme="minorEastAsia" w:hAnsiTheme="minorEastAsia" w:eastAsiaTheme="minorEastAsia" w:cstheme="minorEastAsia"/>
          <w:sz w:val="24"/>
          <w:szCs w:val="24"/>
        </w:rPr>
        <w:t xml:space="preserve">  </w:t>
      </w:r>
    </w:p>
    <w:p w14:paraId="4C112A81">
      <w:pPr>
        <w:spacing w:line="360" w:lineRule="auto"/>
        <w:ind w:left="56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3、招标数量：      </w:t>
      </w:r>
    </w:p>
    <w:p w14:paraId="13FCA5CE">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3.1拟招标规格数量（适用于物资、机械的采购和租赁）：</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w:t>
      </w:r>
    </w:p>
    <w:p w14:paraId="493A5788">
      <w:pPr>
        <w:spacing w:line="360" w:lineRule="auto"/>
        <w:ind w:firstLine="580" w:firstLineChars="24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3.2拟招标规格数量（适用于劳务、专业分包）：</w:t>
      </w:r>
    </w:p>
    <w:tbl>
      <w:tblPr>
        <w:tblStyle w:val="8"/>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262"/>
        <w:gridCol w:w="1128"/>
        <w:gridCol w:w="1062"/>
        <w:gridCol w:w="1213"/>
        <w:gridCol w:w="1975"/>
        <w:gridCol w:w="1968"/>
      </w:tblGrid>
      <w:tr w14:paraId="5EEA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079BDC">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262" w:type="dxa"/>
            <w:tcBorders>
              <w:top w:val="single" w:color="auto" w:sz="4" w:space="0"/>
              <w:left w:val="single" w:color="auto" w:sz="4" w:space="0"/>
              <w:bottom w:val="single" w:color="auto" w:sz="4" w:space="0"/>
              <w:right w:val="single" w:color="auto" w:sz="4" w:space="0"/>
            </w:tcBorders>
            <w:vAlign w:val="center"/>
          </w:tcPr>
          <w:p w14:paraId="771E965E">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rPr>
              <w:t>项目</w:t>
            </w:r>
            <w:r>
              <w:rPr>
                <w:rFonts w:hint="eastAsia" w:ascii="宋体" w:hAnsi="宋体"/>
                <w:color w:val="auto"/>
                <w:szCs w:val="21"/>
                <w:highlight w:val="none"/>
                <w:lang w:eastAsia="zh-CN"/>
              </w:rPr>
              <w:t>名称</w:t>
            </w:r>
          </w:p>
        </w:tc>
        <w:tc>
          <w:tcPr>
            <w:tcW w:w="1128" w:type="dxa"/>
            <w:tcBorders>
              <w:top w:val="single" w:color="auto" w:sz="4" w:space="0"/>
              <w:left w:val="single" w:color="auto" w:sz="4" w:space="0"/>
              <w:bottom w:val="single" w:color="auto" w:sz="4" w:space="0"/>
              <w:right w:val="single" w:color="auto" w:sz="4" w:space="0"/>
            </w:tcBorders>
            <w:vAlign w:val="center"/>
          </w:tcPr>
          <w:p w14:paraId="5AAC6731">
            <w:pPr>
              <w:spacing w:line="360" w:lineRule="auto"/>
              <w:jc w:val="center"/>
              <w:rPr>
                <w:rFonts w:hint="eastAsia" w:ascii="宋体" w:hAnsi="宋体"/>
                <w:color w:val="auto"/>
                <w:szCs w:val="21"/>
                <w:highlight w:val="none"/>
              </w:rPr>
            </w:pPr>
            <w:r>
              <w:rPr>
                <w:rFonts w:hint="eastAsia" w:ascii="宋体" w:hAnsi="宋体"/>
                <w:color w:val="auto"/>
                <w:szCs w:val="21"/>
                <w:highlight w:val="none"/>
              </w:rPr>
              <w:t>计量单位</w:t>
            </w:r>
          </w:p>
        </w:tc>
        <w:tc>
          <w:tcPr>
            <w:tcW w:w="1062" w:type="dxa"/>
            <w:tcBorders>
              <w:top w:val="single" w:color="auto" w:sz="4" w:space="0"/>
              <w:left w:val="single" w:color="auto" w:sz="4" w:space="0"/>
              <w:bottom w:val="single" w:color="auto" w:sz="4" w:space="0"/>
              <w:right w:val="single" w:color="auto" w:sz="4" w:space="0"/>
            </w:tcBorders>
            <w:vAlign w:val="center"/>
          </w:tcPr>
          <w:p w14:paraId="2EF95441">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工程量</w:t>
            </w:r>
          </w:p>
        </w:tc>
        <w:tc>
          <w:tcPr>
            <w:tcW w:w="1213" w:type="dxa"/>
            <w:tcBorders>
              <w:top w:val="single" w:color="auto" w:sz="4" w:space="0"/>
              <w:left w:val="single" w:color="auto" w:sz="4" w:space="0"/>
              <w:bottom w:val="single" w:color="auto" w:sz="4" w:space="0"/>
              <w:right w:val="single" w:color="auto" w:sz="4" w:space="0"/>
            </w:tcBorders>
            <w:vAlign w:val="center"/>
          </w:tcPr>
          <w:p w14:paraId="38822192">
            <w:pPr>
              <w:spacing w:line="360" w:lineRule="auto"/>
              <w:jc w:val="center"/>
              <w:rPr>
                <w:rFonts w:hint="eastAsia" w:ascii="宋体" w:hAnsi="宋体"/>
                <w:color w:val="auto"/>
                <w:szCs w:val="21"/>
                <w:highlight w:val="none"/>
              </w:rPr>
            </w:pPr>
            <w:r>
              <w:rPr>
                <w:rFonts w:hint="eastAsia" w:ascii="宋体" w:hAnsi="宋体"/>
                <w:color w:val="auto"/>
                <w:szCs w:val="21"/>
                <w:highlight w:val="none"/>
              </w:rPr>
              <w:t>不含税单价（元）</w:t>
            </w:r>
          </w:p>
        </w:tc>
        <w:tc>
          <w:tcPr>
            <w:tcW w:w="1975" w:type="dxa"/>
            <w:tcBorders>
              <w:top w:val="single" w:color="auto" w:sz="4" w:space="0"/>
              <w:left w:val="single" w:color="auto" w:sz="4" w:space="0"/>
              <w:bottom w:val="single" w:color="auto" w:sz="4" w:space="0"/>
              <w:right w:val="single" w:color="auto" w:sz="4" w:space="0"/>
            </w:tcBorders>
            <w:vAlign w:val="center"/>
          </w:tcPr>
          <w:p w14:paraId="1F131E64">
            <w:pPr>
              <w:spacing w:line="360" w:lineRule="auto"/>
              <w:jc w:val="center"/>
              <w:rPr>
                <w:rFonts w:hint="eastAsia" w:ascii="宋体" w:hAnsi="宋体"/>
                <w:color w:val="auto"/>
                <w:szCs w:val="21"/>
                <w:highlight w:val="none"/>
              </w:rPr>
            </w:pPr>
            <w:r>
              <w:rPr>
                <w:rFonts w:hint="eastAsia" w:ascii="宋体" w:hAnsi="宋体"/>
                <w:color w:val="auto"/>
                <w:szCs w:val="21"/>
                <w:highlight w:val="none"/>
              </w:rPr>
              <w:t>不含税总价（元）</w:t>
            </w:r>
          </w:p>
        </w:tc>
        <w:tc>
          <w:tcPr>
            <w:tcW w:w="1968" w:type="dxa"/>
            <w:tcBorders>
              <w:top w:val="single" w:color="auto" w:sz="4" w:space="0"/>
              <w:left w:val="single" w:color="auto" w:sz="4" w:space="0"/>
              <w:bottom w:val="single" w:color="auto" w:sz="4" w:space="0"/>
              <w:right w:val="single" w:color="auto" w:sz="4" w:space="0"/>
            </w:tcBorders>
            <w:vAlign w:val="center"/>
          </w:tcPr>
          <w:p w14:paraId="729F3CF0">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备注</w:t>
            </w:r>
          </w:p>
        </w:tc>
      </w:tr>
      <w:tr w14:paraId="25EE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F8169C0">
            <w:pPr>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2262" w:type="dxa"/>
            <w:tcBorders>
              <w:top w:val="single" w:color="auto" w:sz="4" w:space="0"/>
              <w:left w:val="single" w:color="auto" w:sz="4" w:space="0"/>
              <w:bottom w:val="single" w:color="auto" w:sz="4" w:space="0"/>
              <w:right w:val="single" w:color="auto" w:sz="4" w:space="0"/>
            </w:tcBorders>
            <w:vAlign w:val="center"/>
          </w:tcPr>
          <w:p w14:paraId="57BC0D92">
            <w:pPr>
              <w:pStyle w:val="7"/>
              <w:keepNext w:val="0"/>
              <w:keepLines w:val="0"/>
              <w:widowControl/>
              <w:suppressLineNumbers w:val="0"/>
              <w:spacing w:before="0" w:beforeAutospacing="0" w:after="0" w:afterAutospacing="0"/>
              <w:ind w:left="0" w:right="0" w:firstLine="0"/>
              <w:rPr>
                <w:rFonts w:hint="eastAsia"/>
                <w:sz w:val="21"/>
                <w:szCs w:val="21"/>
                <w:lang w:eastAsia="zh-CN"/>
              </w:rPr>
            </w:pPr>
            <w:r>
              <w:rPr>
                <w:rFonts w:hint="eastAsia"/>
                <w:sz w:val="21"/>
                <w:szCs w:val="21"/>
                <w:lang w:eastAsia="zh-CN"/>
              </w:rPr>
              <w:t>原有建筑物拆除</w:t>
            </w:r>
          </w:p>
          <w:p w14:paraId="6B14CE6D">
            <w:pPr>
              <w:pStyle w:val="7"/>
              <w:keepNext w:val="0"/>
              <w:keepLines w:val="0"/>
              <w:widowControl/>
              <w:numPr>
                <w:ilvl w:val="0"/>
                <w:numId w:val="0"/>
              </w:numPr>
              <w:suppressLineNumbers w:val="0"/>
              <w:spacing w:before="0" w:beforeAutospacing="0" w:after="0" w:afterAutospacing="0"/>
              <w:ind w:right="0" w:rightChars="0"/>
              <w:rPr>
                <w:rFonts w:hint="eastAsia"/>
                <w:sz w:val="21"/>
                <w:szCs w:val="21"/>
                <w:lang w:eastAsia="zh-CN"/>
              </w:rPr>
            </w:pPr>
            <w:r>
              <w:rPr>
                <w:rFonts w:hint="eastAsia"/>
                <w:sz w:val="21"/>
                <w:szCs w:val="21"/>
                <w:lang w:val="en-US" w:eastAsia="zh-CN"/>
              </w:rPr>
              <w:t>1.</w:t>
            </w:r>
            <w:r>
              <w:rPr>
                <w:rFonts w:hint="eastAsia"/>
                <w:sz w:val="21"/>
                <w:szCs w:val="21"/>
                <w:lang w:eastAsia="zh-CN"/>
              </w:rPr>
              <w:t>框架结构共七层</w:t>
            </w:r>
          </w:p>
          <w:p w14:paraId="2A09646C">
            <w:pPr>
              <w:pStyle w:val="7"/>
              <w:keepNext w:val="0"/>
              <w:keepLines w:val="0"/>
              <w:widowControl/>
              <w:numPr>
                <w:ilvl w:val="0"/>
                <w:numId w:val="0"/>
              </w:numPr>
              <w:suppressLineNumbers w:val="0"/>
              <w:spacing w:before="0" w:beforeAutospacing="0" w:after="0" w:afterAutospacing="0"/>
              <w:ind w:leftChars="0" w:right="0" w:rightChars="0"/>
              <w:rPr>
                <w:rFonts w:hint="eastAsia"/>
                <w:sz w:val="21"/>
                <w:szCs w:val="21"/>
                <w:lang w:eastAsia="zh-CN"/>
              </w:rPr>
            </w:pPr>
            <w:r>
              <w:rPr>
                <w:rFonts w:hint="eastAsia"/>
                <w:sz w:val="21"/>
                <w:szCs w:val="21"/>
                <w:lang w:val="en-US" w:eastAsia="zh-CN"/>
              </w:rPr>
              <w:t>2.</w:t>
            </w:r>
            <w:r>
              <w:rPr>
                <w:rFonts w:hint="eastAsia"/>
                <w:sz w:val="21"/>
                <w:szCs w:val="21"/>
                <w:lang w:eastAsia="zh-CN"/>
              </w:rPr>
              <w:t>破坏性拆除</w:t>
            </w:r>
          </w:p>
          <w:p w14:paraId="10BF61E3">
            <w:pPr>
              <w:pStyle w:val="7"/>
              <w:keepNext w:val="0"/>
              <w:keepLines w:val="0"/>
              <w:widowControl/>
              <w:suppressLineNumbers w:val="0"/>
              <w:spacing w:before="0" w:beforeAutospacing="0" w:after="0" w:afterAutospacing="0"/>
              <w:ind w:left="0" w:right="0" w:firstLine="0"/>
              <w:rPr>
                <w:sz w:val="21"/>
                <w:szCs w:val="21"/>
              </w:rPr>
            </w:pPr>
            <w:r>
              <w:rPr>
                <w:rFonts w:hint="eastAsia"/>
                <w:sz w:val="21"/>
                <w:szCs w:val="21"/>
                <w:lang w:val="en-US" w:eastAsia="zh-CN"/>
              </w:rPr>
              <w:t>3.</w:t>
            </w:r>
            <w:r>
              <w:rPr>
                <w:sz w:val="21"/>
                <w:szCs w:val="21"/>
              </w:rPr>
              <w:t>拆除方式：人工</w:t>
            </w:r>
            <w:r>
              <w:rPr>
                <w:rFonts w:hint="eastAsia"/>
                <w:sz w:val="21"/>
                <w:szCs w:val="21"/>
                <w:lang w:eastAsia="zh-CN"/>
              </w:rPr>
              <w:t>配合机械</w:t>
            </w:r>
            <w:r>
              <w:rPr>
                <w:sz w:val="21"/>
                <w:szCs w:val="21"/>
              </w:rPr>
              <w:t>拆除</w:t>
            </w:r>
          </w:p>
          <w:p w14:paraId="5439B8C7">
            <w:pPr>
              <w:pStyle w:val="7"/>
              <w:keepNext w:val="0"/>
              <w:keepLines w:val="0"/>
              <w:widowControl/>
              <w:suppressLineNumbers w:val="0"/>
              <w:spacing w:before="0" w:beforeAutospacing="0" w:after="0" w:afterAutospacing="0"/>
              <w:ind w:left="0" w:right="0" w:firstLine="0"/>
              <w:rPr>
                <w:rFonts w:hint="eastAsia" w:ascii="宋体" w:hAnsi="宋体" w:eastAsia="宋体" w:cs="宋体"/>
                <w:szCs w:val="21"/>
                <w:highlight w:val="none"/>
                <w:lang w:val="en-US" w:eastAsia="zh-CN"/>
              </w:rPr>
            </w:pPr>
            <w:r>
              <w:rPr>
                <w:rFonts w:hint="eastAsia"/>
                <w:sz w:val="21"/>
                <w:szCs w:val="21"/>
                <w:lang w:val="en-US" w:eastAsia="zh-CN"/>
              </w:rPr>
              <w:t>4.</w:t>
            </w:r>
            <w:r>
              <w:rPr>
                <w:sz w:val="21"/>
                <w:szCs w:val="21"/>
              </w:rPr>
              <w:t>垃圾内倒、集中堆放、清理、外运</w:t>
            </w:r>
            <w:r>
              <w:rPr>
                <w:rFonts w:hint="eastAsia"/>
                <w:sz w:val="21"/>
                <w:szCs w:val="21"/>
                <w:lang w:eastAsia="zh-CN"/>
              </w:rPr>
              <w:t>与消纳</w:t>
            </w:r>
          </w:p>
        </w:tc>
        <w:tc>
          <w:tcPr>
            <w:tcW w:w="1128" w:type="dxa"/>
            <w:tcBorders>
              <w:top w:val="single" w:color="auto" w:sz="4" w:space="0"/>
              <w:left w:val="single" w:color="auto" w:sz="4" w:space="0"/>
              <w:bottom w:val="single" w:color="auto" w:sz="4" w:space="0"/>
              <w:right w:val="single" w:color="auto" w:sz="4" w:space="0"/>
            </w:tcBorders>
            <w:vAlign w:val="center"/>
          </w:tcPr>
          <w:p w14:paraId="4BE9B972">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w:t>
            </w:r>
          </w:p>
        </w:tc>
        <w:tc>
          <w:tcPr>
            <w:tcW w:w="1062" w:type="dxa"/>
            <w:tcBorders>
              <w:top w:val="single" w:color="auto" w:sz="4" w:space="0"/>
              <w:left w:val="single" w:color="auto" w:sz="4" w:space="0"/>
              <w:bottom w:val="single" w:color="auto" w:sz="4" w:space="0"/>
              <w:right w:val="single" w:color="auto" w:sz="4" w:space="0"/>
            </w:tcBorders>
            <w:vAlign w:val="center"/>
          </w:tcPr>
          <w:p w14:paraId="75C21BEA">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11539.02</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14:paraId="4BDFDA06">
            <w:pPr>
              <w:spacing w:line="360" w:lineRule="auto"/>
              <w:jc w:val="center"/>
              <w:rPr>
                <w:rFonts w:hint="default" w:ascii="宋体" w:hAnsi="宋体" w:eastAsia="宋体" w:cs="Times New Roman"/>
                <w:color w:val="auto"/>
                <w:kern w:val="2"/>
                <w:sz w:val="21"/>
                <w:szCs w:val="21"/>
                <w:highlight w:val="none"/>
                <w:lang w:val="en-US" w:eastAsia="zh-CN" w:bidi="ar-SA"/>
              </w:rPr>
            </w:pPr>
          </w:p>
        </w:tc>
        <w:tc>
          <w:tcPr>
            <w:tcW w:w="1975" w:type="dxa"/>
            <w:tcBorders>
              <w:top w:val="single" w:color="auto" w:sz="4" w:space="0"/>
              <w:left w:val="single" w:color="auto" w:sz="4" w:space="0"/>
              <w:bottom w:val="single" w:color="auto" w:sz="4" w:space="0"/>
              <w:right w:val="single" w:color="auto" w:sz="4" w:space="0"/>
            </w:tcBorders>
            <w:vAlign w:val="center"/>
          </w:tcPr>
          <w:p w14:paraId="01E887CB">
            <w:pPr>
              <w:spacing w:line="360" w:lineRule="auto"/>
              <w:jc w:val="center"/>
              <w:rPr>
                <w:rFonts w:hint="eastAsia" w:ascii="宋体" w:hAnsi="宋体" w:cs="宋体"/>
                <w:szCs w:val="21"/>
                <w:highlight w:val="none"/>
              </w:rPr>
            </w:pPr>
          </w:p>
        </w:tc>
        <w:tc>
          <w:tcPr>
            <w:tcW w:w="1968" w:type="dxa"/>
            <w:tcBorders>
              <w:top w:val="single" w:color="auto" w:sz="4" w:space="0"/>
              <w:left w:val="single" w:color="auto" w:sz="4" w:space="0"/>
              <w:bottom w:val="single" w:color="auto" w:sz="4" w:space="0"/>
              <w:right w:val="single" w:color="auto" w:sz="4" w:space="0"/>
            </w:tcBorders>
            <w:vAlign w:val="center"/>
          </w:tcPr>
          <w:p w14:paraId="40EE3BB3">
            <w:pPr>
              <w:spacing w:line="360" w:lineRule="auto"/>
              <w:jc w:val="center"/>
              <w:rPr>
                <w:rFonts w:hint="eastAsia" w:ascii="宋体" w:hAnsi="宋体" w:cs="宋体"/>
                <w:szCs w:val="21"/>
                <w:highlight w:val="none"/>
              </w:rPr>
            </w:pPr>
          </w:p>
        </w:tc>
      </w:tr>
      <w:tr w14:paraId="3C67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DB29998">
            <w:pPr>
              <w:spacing w:line="360" w:lineRule="auto"/>
              <w:jc w:val="center"/>
              <w:rPr>
                <w:rFonts w:hint="eastAsia" w:ascii="宋体" w:hAnsi="宋体"/>
                <w:szCs w:val="21"/>
                <w:highlight w:val="none"/>
              </w:rPr>
            </w:pPr>
            <w:r>
              <w:rPr>
                <w:rFonts w:hint="eastAsia" w:ascii="宋体" w:hAnsi="宋体"/>
                <w:szCs w:val="21"/>
                <w:highlight w:val="none"/>
              </w:rPr>
              <w:t>备注</w:t>
            </w:r>
          </w:p>
        </w:tc>
        <w:tc>
          <w:tcPr>
            <w:tcW w:w="9608" w:type="dxa"/>
            <w:gridSpan w:val="6"/>
            <w:tcBorders>
              <w:top w:val="single" w:color="auto" w:sz="4" w:space="0"/>
              <w:left w:val="single" w:color="auto" w:sz="4" w:space="0"/>
              <w:bottom w:val="single" w:color="auto" w:sz="4" w:space="0"/>
              <w:right w:val="single" w:color="auto" w:sz="4" w:space="0"/>
            </w:tcBorders>
            <w:vAlign w:val="center"/>
          </w:tcPr>
          <w:p w14:paraId="027DB54D">
            <w:pPr>
              <w:spacing w:line="360" w:lineRule="auto"/>
              <w:jc w:val="left"/>
              <w:rPr>
                <w:rFonts w:hint="eastAsia"/>
                <w:highlight w:val="none"/>
              </w:rPr>
            </w:pPr>
            <w:r>
              <w:rPr>
                <w:rFonts w:hint="eastAsia"/>
                <w:highlight w:val="none"/>
                <w:lang w:val="en-US" w:eastAsia="zh-CN"/>
              </w:rPr>
              <w:t>1</w:t>
            </w:r>
            <w:r>
              <w:rPr>
                <w:rFonts w:hint="eastAsia"/>
                <w:highlight w:val="none"/>
              </w:rPr>
              <w:t>、与上述各“计价项目”有关的措施费、</w:t>
            </w:r>
            <w:r>
              <w:rPr>
                <w:rFonts w:hint="eastAsia"/>
                <w:highlight w:val="none"/>
                <w:lang w:eastAsia="zh-CN"/>
              </w:rPr>
              <w:t>垃圾清理及外运及消纳、</w:t>
            </w:r>
            <w:r>
              <w:rPr>
                <w:rFonts w:hint="eastAsia"/>
                <w:highlight w:val="none"/>
              </w:rPr>
              <w:t>规费及税金，包括劳保统筹费（用于中标单位为其人员缴纳养老保险费用或支付养老补贴）、安全生产费用（用于中标单位对其人员进行安全教育、安全管理、配备安全防护用品、制作安装拆除安全防护设施及采取其他安全措施）</w:t>
            </w:r>
            <w:r>
              <w:rPr>
                <w:rFonts w:hint="eastAsia"/>
                <w:highlight w:val="none"/>
                <w:lang w:eastAsia="zh-CN"/>
              </w:rPr>
              <w:t>、</w:t>
            </w:r>
            <w:r>
              <w:rPr>
                <w:rFonts w:hint="eastAsia"/>
                <w:highlight w:val="none"/>
                <w:lang w:val="en-US" w:eastAsia="zh-CN"/>
              </w:rPr>
              <w:t>检验试验费，验收费用等</w:t>
            </w:r>
            <w:r>
              <w:rPr>
                <w:rFonts w:hint="eastAsia"/>
                <w:highlight w:val="none"/>
              </w:rPr>
              <w:t>，均已含入以上各项价格，不再另行计取。</w:t>
            </w:r>
          </w:p>
          <w:p w14:paraId="476F0D7F">
            <w:pPr>
              <w:spacing w:line="360" w:lineRule="auto"/>
              <w:jc w:val="left"/>
              <w:rPr>
                <w:rFonts w:hint="eastAsia"/>
                <w:highlight w:val="none"/>
              </w:rPr>
            </w:pPr>
            <w:r>
              <w:rPr>
                <w:rFonts w:hint="eastAsia"/>
                <w:highlight w:val="none"/>
                <w:lang w:val="en-US" w:eastAsia="zh-CN"/>
              </w:rPr>
              <w:t>2</w:t>
            </w:r>
            <w:r>
              <w:rPr>
                <w:rFonts w:hint="eastAsia"/>
                <w:highlight w:val="none"/>
              </w:rPr>
              <w:t>、本项目计税方式确定为 一般计税法。上述各“计价项目”均为含税价，其中，增值税税率为</w:t>
            </w:r>
            <w:r>
              <w:rPr>
                <w:rFonts w:hint="eastAsia"/>
                <w:highlight w:val="none"/>
                <w:lang w:val="en-US" w:eastAsia="zh-CN"/>
              </w:rPr>
              <w:t xml:space="preserve"> </w:t>
            </w:r>
            <w:r>
              <w:rPr>
                <w:rFonts w:hint="eastAsia"/>
                <w:highlight w:val="none"/>
                <w:u w:val="single"/>
                <w:lang w:val="en-US" w:eastAsia="zh-CN"/>
              </w:rPr>
              <w:t xml:space="preserve">  9   </w:t>
            </w:r>
            <w:r>
              <w:rPr>
                <w:rFonts w:hint="eastAsia"/>
                <w:highlight w:val="none"/>
                <w:lang w:val="en-US" w:eastAsia="zh-CN"/>
              </w:rPr>
              <w:t xml:space="preserve"> </w:t>
            </w:r>
            <w:r>
              <w:rPr>
                <w:rFonts w:hint="eastAsia"/>
                <w:highlight w:val="none"/>
              </w:rPr>
              <w:t>% ，中标单位应向招标单位提供增值税专用发票。</w:t>
            </w:r>
          </w:p>
          <w:p w14:paraId="336BCEAB">
            <w:pPr>
              <w:spacing w:line="360" w:lineRule="auto"/>
              <w:jc w:val="left"/>
              <w:rPr>
                <w:rFonts w:hint="eastAsia"/>
                <w:highlight w:val="none"/>
              </w:rPr>
            </w:pPr>
            <w:r>
              <w:rPr>
                <w:rFonts w:hint="eastAsia"/>
                <w:highlight w:val="none"/>
                <w:lang w:val="en-US" w:eastAsia="zh-CN"/>
              </w:rPr>
              <w:t>3</w:t>
            </w:r>
            <w:r>
              <w:rPr>
                <w:rFonts w:hint="eastAsia"/>
                <w:highlight w:val="none"/>
              </w:rPr>
              <w:t>、合同总价已考虑风险，不再另行支付零星用工。以上内容要做到工完场清，若是由于中标单位原因，导致政府相关部门开具的罚款，由中标单位负责，同时中标单位要无偿配合招标单位提出关于环境污染采取的措施工作。</w:t>
            </w:r>
          </w:p>
          <w:p w14:paraId="19727562">
            <w:pPr>
              <w:spacing w:line="360" w:lineRule="auto"/>
              <w:jc w:val="left"/>
              <w:rPr>
                <w:rFonts w:hint="eastAsia"/>
                <w:highlight w:val="none"/>
              </w:rPr>
            </w:pPr>
            <w:r>
              <w:rPr>
                <w:rFonts w:hint="eastAsia"/>
                <w:highlight w:val="none"/>
                <w:lang w:val="en-US" w:eastAsia="zh-CN"/>
              </w:rPr>
              <w:t>4</w:t>
            </w:r>
            <w:r>
              <w:rPr>
                <w:rFonts w:hint="eastAsia"/>
                <w:highlight w:val="none"/>
              </w:rPr>
              <w:t>、中标单位应配合招标单位施工，若不服从管理招标单位有权扣款。</w:t>
            </w:r>
          </w:p>
          <w:p w14:paraId="23478DDC">
            <w:pPr>
              <w:spacing w:line="360" w:lineRule="auto"/>
              <w:jc w:val="left"/>
              <w:rPr>
                <w:highlight w:val="none"/>
              </w:rPr>
            </w:pPr>
            <w:r>
              <w:rPr>
                <w:rFonts w:hint="eastAsia"/>
                <w:highlight w:val="none"/>
                <w:lang w:val="en-US" w:eastAsia="zh-CN"/>
              </w:rPr>
              <w:t>5</w:t>
            </w:r>
            <w:r>
              <w:rPr>
                <w:rFonts w:hint="eastAsia"/>
                <w:highlight w:val="none"/>
              </w:rPr>
              <w:t>、招标单位有对本工程增减工程量及变更工作内容的权利。</w:t>
            </w:r>
          </w:p>
          <w:p w14:paraId="19FEE21B">
            <w:pPr>
              <w:spacing w:line="360" w:lineRule="auto"/>
              <w:jc w:val="left"/>
              <w:rPr>
                <w:rFonts w:hint="default"/>
                <w:highlight w:val="none"/>
                <w:lang w:val="en-US" w:eastAsia="zh-CN"/>
              </w:rPr>
            </w:pPr>
            <w:r>
              <w:rPr>
                <w:rFonts w:hint="eastAsia"/>
                <w:highlight w:val="none"/>
                <w:lang w:val="en-US" w:eastAsia="zh-CN"/>
              </w:rPr>
              <w:t>6</w:t>
            </w:r>
            <w:r>
              <w:rPr>
                <w:rFonts w:hint="eastAsia"/>
                <w:highlight w:val="none"/>
              </w:rPr>
              <w:t>、此工程施工过程中产生</w:t>
            </w:r>
            <w:r>
              <w:rPr>
                <w:rFonts w:hint="eastAsia"/>
                <w:highlight w:val="none"/>
                <w:lang w:val="en-US" w:eastAsia="zh-CN"/>
              </w:rPr>
              <w:t>的</w:t>
            </w:r>
            <w:r>
              <w:rPr>
                <w:rFonts w:hint="eastAsia"/>
                <w:highlight w:val="none"/>
              </w:rPr>
              <w:t>水、电费由</w:t>
            </w:r>
            <w:r>
              <w:rPr>
                <w:rFonts w:hint="eastAsia"/>
                <w:highlight w:val="none"/>
                <w:lang w:val="en-US" w:eastAsia="zh-CN"/>
              </w:rPr>
              <w:t>投</w:t>
            </w:r>
            <w:r>
              <w:rPr>
                <w:rFonts w:hint="eastAsia"/>
                <w:highlight w:val="none"/>
              </w:rPr>
              <w:t>标单位负责。</w:t>
            </w:r>
          </w:p>
        </w:tc>
      </w:tr>
    </w:tbl>
    <w:p w14:paraId="29CA70DA">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投标人资格要求：</w:t>
      </w:r>
    </w:p>
    <w:p w14:paraId="7309AD81">
      <w:pPr>
        <w:ind w:left="210" w:leftChars="100" w:firstLine="331" w:firstLineChars="138"/>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4.1</w:t>
      </w:r>
      <w:r>
        <w:rPr>
          <w:rFonts w:hint="eastAsia" w:asciiTheme="minorEastAsia" w:hAnsiTheme="minorEastAsia" w:eastAsiaTheme="minorEastAsia" w:cstheme="minorEastAsia"/>
          <w:color w:val="000000"/>
          <w:sz w:val="24"/>
          <w:szCs w:val="24"/>
        </w:rPr>
        <w:t>投标单位必须在陕建云采电子商务平台注册并通过审核（网址：</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"http://sjtb.gldcg.com)。" </w:instrText>
      </w:r>
      <w:r>
        <w:rPr>
          <w:rFonts w:hint="eastAsia" w:asciiTheme="minorEastAsia" w:hAnsiTheme="minorEastAsia" w:eastAsiaTheme="minorEastAsia" w:cstheme="minorEastAsia"/>
          <w:sz w:val="24"/>
          <w:szCs w:val="24"/>
        </w:rPr>
        <w:fldChar w:fldCharType="separate"/>
      </w:r>
      <w:r>
        <w:rPr>
          <w:rStyle w:val="10"/>
          <w:rFonts w:hint="eastAsia" w:asciiTheme="minorEastAsia" w:hAnsiTheme="minorEastAsia" w:eastAsiaTheme="minorEastAsia" w:cstheme="minorEastAsia"/>
          <w:sz w:val="24"/>
          <w:szCs w:val="24"/>
        </w:rPr>
        <w:t>https://</w:t>
      </w:r>
      <w:r>
        <w:rPr>
          <w:rStyle w:val="10"/>
          <w:rFonts w:hint="eastAsia" w:asciiTheme="minorEastAsia" w:hAnsiTheme="minorEastAsia" w:eastAsiaTheme="minorEastAsia" w:cstheme="minorEastAsia"/>
          <w:sz w:val="24"/>
          <w:szCs w:val="24"/>
          <w:lang w:val="en-US" w:eastAsia="zh-CN"/>
        </w:rPr>
        <w:t>www.</w:t>
      </w:r>
      <w:r>
        <w:rPr>
          <w:rStyle w:val="10"/>
          <w:rFonts w:hint="eastAsia" w:asciiTheme="minorEastAsia" w:hAnsiTheme="minorEastAsia" w:eastAsiaTheme="minorEastAsia" w:cstheme="minorEastAsia"/>
          <w:sz w:val="24"/>
          <w:szCs w:val="24"/>
        </w:rPr>
        <w:t>.sjyunc.com</w:t>
      </w:r>
      <w:r>
        <w:rPr>
          <w:rStyle w:val="10"/>
          <w:rFonts w:hint="eastAsia" w:asciiTheme="minorEastAsia" w:hAnsiTheme="minorEastAsia" w:eastAsiaTheme="minorEastAsia" w:cstheme="minorEastAsia"/>
          <w:sz w:val="24"/>
          <w:szCs w:val="24"/>
          <w:lang w:val="en-US" w:eastAsia="zh-CN"/>
        </w:rPr>
        <w:t>)</w:t>
      </w:r>
      <w:r>
        <w:rPr>
          <w:rStyle w:val="10"/>
          <w:rFonts w:hint="eastAsia" w:asciiTheme="minorEastAsia" w:hAnsiTheme="minorEastAsia" w:eastAsiaTheme="minorEastAsia" w:cstheme="minorEastAsia"/>
          <w:sz w:val="24"/>
          <w:szCs w:val="24"/>
        </w:rPr>
        <w:t>。</w:t>
      </w:r>
      <w:r>
        <w:rPr>
          <w:rStyle w:val="10"/>
          <w:rFonts w:hint="eastAsia" w:asciiTheme="minorEastAsia" w:hAnsiTheme="minorEastAsia" w:eastAsiaTheme="minorEastAsia" w:cstheme="minorEastAsia"/>
          <w:sz w:val="24"/>
          <w:szCs w:val="24"/>
        </w:rPr>
        <w:fldChar w:fldCharType="end"/>
      </w:r>
    </w:p>
    <w:p w14:paraId="7AD59155">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4.2企</w:t>
      </w:r>
      <w:r>
        <w:rPr>
          <w:rFonts w:hint="eastAsia" w:asciiTheme="minorEastAsia" w:hAnsiTheme="minorEastAsia" w:eastAsiaTheme="minorEastAsia" w:cstheme="minorEastAsia"/>
          <w:sz w:val="24"/>
          <w:szCs w:val="24"/>
          <w:highlight w:val="none"/>
        </w:rPr>
        <w:t>业法人营业执照</w:t>
      </w:r>
      <w:r>
        <w:rPr>
          <w:rFonts w:hint="eastAsia" w:asciiTheme="minorEastAsia" w:hAnsiTheme="minorEastAsia" w:eastAsiaTheme="minorEastAsia" w:cstheme="minorEastAsia"/>
          <w:sz w:val="24"/>
          <w:szCs w:val="24"/>
        </w:rPr>
        <w:t>；</w:t>
      </w:r>
    </w:p>
    <w:p w14:paraId="523E5B73">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4.3开户许可证;</w:t>
      </w:r>
    </w:p>
    <w:p w14:paraId="2EFD8205">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4.4近一年度财务报表;</w:t>
      </w:r>
    </w:p>
    <w:p w14:paraId="4287F322">
      <w:pPr>
        <w:spacing w:line="360" w:lineRule="auto"/>
        <w:ind w:firstLine="580" w:firstLineChars="24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4.5法人委托授权书及被委托人身份证</w:t>
      </w:r>
      <w:r>
        <w:rPr>
          <w:rFonts w:hint="eastAsia" w:asciiTheme="minorEastAsia" w:hAnsiTheme="minorEastAsia" w:eastAsiaTheme="minorEastAsia" w:cstheme="minorEastAsia"/>
          <w:sz w:val="24"/>
          <w:szCs w:val="24"/>
          <w:lang w:eastAsia="zh-CN"/>
        </w:rPr>
        <w:t>、法人身份证</w:t>
      </w:r>
      <w:r>
        <w:rPr>
          <w:rFonts w:hint="eastAsia" w:asciiTheme="minorEastAsia" w:hAnsiTheme="minorEastAsia" w:eastAsiaTheme="minorEastAsia" w:cstheme="minorEastAsia"/>
          <w:sz w:val="24"/>
          <w:szCs w:val="24"/>
        </w:rPr>
        <w:t>；</w:t>
      </w:r>
    </w:p>
    <w:p w14:paraId="50B668CF">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r>
        <w:rPr>
          <w:rFonts w:hint="eastAsia" w:asciiTheme="minorEastAsia" w:hAnsiTheme="minorEastAsia" w:eastAsiaTheme="minorEastAsia" w:cstheme="minorEastAsia"/>
          <w:sz w:val="24"/>
          <w:szCs w:val="24"/>
          <w:lang w:val="en-US" w:eastAsia="zh-CN"/>
        </w:rPr>
        <w:t>具</w:t>
      </w:r>
      <w:r>
        <w:rPr>
          <w:rFonts w:hint="eastAsia" w:ascii="宋体" w:hAnsi="宋体" w:eastAsia="宋体" w:cs="宋体"/>
          <w:color w:val="auto"/>
          <w:sz w:val="24"/>
          <w:highlight w:val="none"/>
          <w:lang w:val="en-US" w:eastAsia="zh-CN"/>
        </w:rPr>
        <w:t>备</w:t>
      </w:r>
      <w:r>
        <w:rPr>
          <w:rFonts w:hint="eastAsia" w:ascii="宋体" w:hAnsi="宋体"/>
          <w:color w:val="auto"/>
          <w:sz w:val="24"/>
          <w:highlight w:val="none"/>
          <w:u w:val="none"/>
          <w:lang w:val="en-US" w:eastAsia="zh-CN"/>
        </w:rPr>
        <w:t>建筑工程专业承包二级</w:t>
      </w:r>
      <w:r>
        <w:rPr>
          <w:rFonts w:hint="eastAsia" w:ascii="宋体" w:hAnsi="宋体" w:eastAsia="宋体" w:cs="宋体"/>
          <w:color w:val="auto"/>
          <w:sz w:val="24"/>
          <w:highlight w:val="none"/>
        </w:rPr>
        <w:t>工程施工资质</w:t>
      </w:r>
      <w:r>
        <w:rPr>
          <w:rFonts w:hint="eastAsia" w:asciiTheme="minorEastAsia" w:hAnsiTheme="minorEastAsia" w:eastAsiaTheme="minorEastAsia" w:cstheme="minorEastAsia"/>
          <w:sz w:val="24"/>
          <w:szCs w:val="24"/>
          <w:lang w:val="en-US" w:eastAsia="zh-CN"/>
        </w:rPr>
        <w:t>。</w:t>
      </w:r>
    </w:p>
    <w:p w14:paraId="11E556E3">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招标文件的获取：</w:t>
      </w:r>
    </w:p>
    <w:p w14:paraId="392F6109">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招标文件发放时间</w:t>
      </w:r>
      <w:r>
        <w:rPr>
          <w:rFonts w:hint="eastAsia" w:asciiTheme="minorEastAsia" w:hAnsiTheme="minorEastAsia" w:eastAsiaTheme="minorEastAsia" w:cstheme="minorEastAsia"/>
          <w:sz w:val="24"/>
          <w:szCs w:val="24"/>
          <w:lang w:val="en-US" w:eastAsia="zh-CN"/>
        </w:rPr>
        <w:t>以平台为准，请留意平台信息或联系招标管理员谭宝锋15353588690</w:t>
      </w:r>
      <w:r>
        <w:rPr>
          <w:rFonts w:hint="eastAsia" w:asciiTheme="minorEastAsia" w:hAnsiTheme="minorEastAsia" w:eastAsiaTheme="minorEastAsia" w:cstheme="minorEastAsia"/>
          <w:sz w:val="24"/>
          <w:szCs w:val="24"/>
        </w:rPr>
        <w:t>；招标文件发放为陕建云采集采招标平台。</w:t>
      </w:r>
    </w:p>
    <w:p w14:paraId="3DB23CDA">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6、投标文件递交截止时间和开标时间：电话另行通知，投标文件应予投标截止日前完成网投。</w:t>
      </w:r>
    </w:p>
    <w:p w14:paraId="5EA54B87">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7、开标地点：陕建云采集</w:t>
      </w:r>
      <w:r>
        <w:rPr>
          <w:rFonts w:hint="eastAsia" w:asciiTheme="minorEastAsia" w:hAnsiTheme="minorEastAsia" w:eastAsiaTheme="minorEastAsia" w:cstheme="minorEastAsia"/>
          <w:sz w:val="24"/>
          <w:szCs w:val="24"/>
          <w:u w:val="none"/>
        </w:rPr>
        <w:t>采招标平台(</w:t>
      </w:r>
      <w:r>
        <w:rPr>
          <w:rFonts w:hint="eastAsia" w:asciiTheme="minorEastAsia" w:hAnsiTheme="minorEastAsia" w:eastAsiaTheme="minorEastAsia" w:cstheme="minorEastAsia"/>
          <w:sz w:val="24"/>
          <w:szCs w:val="24"/>
        </w:rPr>
        <w:t>投标截止日之后送达或不符合规定的投</w:t>
      </w:r>
      <w:bookmarkStart w:id="0" w:name="_GoBack"/>
      <w:bookmarkEnd w:id="0"/>
      <w:r>
        <w:rPr>
          <w:rFonts w:hint="eastAsia" w:asciiTheme="minorEastAsia" w:hAnsiTheme="minorEastAsia" w:eastAsiaTheme="minorEastAsia" w:cstheme="minorEastAsia"/>
          <w:sz w:val="24"/>
          <w:szCs w:val="24"/>
        </w:rPr>
        <w:t>标文件将被拒绝)。</w:t>
      </w:r>
    </w:p>
    <w:p w14:paraId="511EDBA2">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8、 </w:t>
      </w:r>
      <w:r>
        <w:rPr>
          <w:rFonts w:hint="eastAsia" w:asciiTheme="minorEastAsia" w:hAnsiTheme="minorEastAsia" w:eastAsiaTheme="minorEastAsia" w:cstheme="minorEastAsia"/>
          <w:sz w:val="24"/>
          <w:szCs w:val="24"/>
          <w:lang w:val="en-US" w:eastAsia="zh-CN"/>
        </w:rPr>
        <w:t>标书费</w:t>
      </w:r>
      <w:r>
        <w:rPr>
          <w:rFonts w:hint="eastAsia" w:asciiTheme="minorEastAsia" w:hAnsiTheme="minorEastAsia" w:eastAsiaTheme="minorEastAsia" w:cstheme="minorEastAsia"/>
          <w:sz w:val="24"/>
          <w:szCs w:val="24"/>
        </w:rPr>
        <w:t>缴纳方式：资格预审通过后，</w:t>
      </w:r>
      <w:r>
        <w:rPr>
          <w:rFonts w:hint="eastAsia" w:asciiTheme="minorEastAsia" w:hAnsiTheme="minorEastAsia" w:eastAsiaTheme="minorEastAsia" w:cstheme="minorEastAsia"/>
          <w:sz w:val="24"/>
          <w:szCs w:val="24"/>
          <w:lang w:val="en-US" w:eastAsia="zh-CN"/>
        </w:rPr>
        <w:t>各单位需缴纳标书费500.00元，</w:t>
      </w:r>
      <w:r>
        <w:rPr>
          <w:rFonts w:hint="eastAsia" w:asciiTheme="minorEastAsia" w:hAnsiTheme="minorEastAsia" w:eastAsiaTheme="minorEastAsia" w:cstheme="minorEastAsia"/>
          <w:sz w:val="24"/>
          <w:szCs w:val="24"/>
        </w:rPr>
        <w:t>领招标文件前，</w:t>
      </w:r>
      <w:r>
        <w:rPr>
          <w:rFonts w:hint="eastAsia" w:asciiTheme="minorEastAsia" w:hAnsiTheme="minorEastAsia" w:eastAsiaTheme="minorEastAsia" w:cstheme="minorEastAsia"/>
          <w:sz w:val="24"/>
          <w:szCs w:val="24"/>
          <w:lang w:val="en-US" w:eastAsia="zh-CN"/>
        </w:rPr>
        <w:t>以公对公/现金形式</w:t>
      </w:r>
      <w:r>
        <w:rPr>
          <w:rFonts w:hint="eastAsia" w:asciiTheme="minorEastAsia" w:hAnsiTheme="minorEastAsia" w:eastAsiaTheme="minorEastAsia" w:cstheme="minorEastAsia"/>
          <w:sz w:val="24"/>
          <w:szCs w:val="24"/>
        </w:rPr>
        <w:t>向招标人项目所隶属的财务部缴纳。</w:t>
      </w:r>
    </w:p>
    <w:p w14:paraId="174F635D">
      <w:pPr>
        <w:spacing w:line="360" w:lineRule="auto"/>
        <w:ind w:firstLine="580" w:firstLineChars="242"/>
        <w:rPr>
          <w:rFonts w:hint="eastAsia" w:ascii="宋体" w:hAnsi="宋体"/>
          <w:color w:val="auto"/>
          <w:sz w:val="24"/>
        </w:rPr>
      </w:pPr>
      <w:r>
        <w:rPr>
          <w:rFonts w:hint="eastAsia" w:asciiTheme="minorEastAsia" w:hAnsiTheme="minorEastAsia" w:eastAsiaTheme="minorEastAsia" w:cstheme="minorEastAsia"/>
          <w:sz w:val="24"/>
          <w:szCs w:val="24"/>
        </w:rPr>
        <w:t>未按时交纳</w:t>
      </w:r>
      <w:r>
        <w:rPr>
          <w:rFonts w:hint="eastAsia" w:asciiTheme="minorEastAsia" w:hAnsiTheme="minorEastAsia" w:eastAsiaTheme="minorEastAsia" w:cstheme="minorEastAsia"/>
          <w:sz w:val="24"/>
          <w:szCs w:val="24"/>
          <w:lang w:val="en-US" w:eastAsia="zh-CN"/>
        </w:rPr>
        <w:t>标书费</w:t>
      </w:r>
      <w:r>
        <w:rPr>
          <w:rFonts w:hint="eastAsia" w:asciiTheme="minorEastAsia" w:hAnsiTheme="minorEastAsia" w:eastAsiaTheme="minorEastAsia" w:cstheme="minorEastAsia"/>
          <w:sz w:val="24"/>
          <w:szCs w:val="24"/>
        </w:rPr>
        <w:t>的单</w:t>
      </w:r>
      <w:r>
        <w:rPr>
          <w:rFonts w:hint="eastAsia" w:ascii="宋体" w:hAnsi="宋体"/>
          <w:color w:val="auto"/>
          <w:sz w:val="24"/>
        </w:rPr>
        <w:t>位，招标人将拒绝其参与投标。</w:t>
      </w:r>
    </w:p>
    <w:p w14:paraId="7810DECB">
      <w:pPr>
        <w:spacing w:line="360" w:lineRule="auto"/>
        <w:ind w:firstLine="580" w:firstLineChars="2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highlight w:val="none"/>
        </w:rPr>
        <w:t>本工程为</w:t>
      </w:r>
      <w:r>
        <w:rPr>
          <w:rFonts w:hint="eastAsia" w:asciiTheme="minorEastAsia" w:hAnsiTheme="minorEastAsia" w:eastAsiaTheme="minorEastAsia" w:cstheme="minorEastAsia"/>
          <w:sz w:val="24"/>
          <w:szCs w:val="24"/>
          <w:highlight w:val="none"/>
          <w:lang w:val="en-US" w:eastAsia="zh-CN"/>
        </w:rPr>
        <w:t>分包</w:t>
      </w:r>
      <w:r>
        <w:rPr>
          <w:rFonts w:hint="eastAsia" w:asciiTheme="minorEastAsia" w:hAnsiTheme="minorEastAsia" w:eastAsiaTheme="minorEastAsia" w:cstheme="minorEastAsia"/>
          <w:sz w:val="24"/>
          <w:szCs w:val="24"/>
          <w:highlight w:val="none"/>
        </w:rPr>
        <w:t>招标，我公司不接受以联合体投标的形式。</w:t>
      </w:r>
    </w:p>
    <w:p w14:paraId="2EAC5D7A">
      <w:pPr>
        <w:spacing w:line="360" w:lineRule="auto"/>
        <w:ind w:firstLine="580" w:firstLineChars="2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10、 联系方式： 招标</w:t>
      </w:r>
      <w:r>
        <w:rPr>
          <w:rFonts w:hint="eastAsia" w:asciiTheme="minorEastAsia" w:hAnsiTheme="minorEastAsia" w:eastAsiaTheme="minorEastAsia" w:cstheme="minorEastAsia"/>
          <w:sz w:val="24"/>
          <w:szCs w:val="24"/>
          <w:highlight w:val="none"/>
        </w:rPr>
        <w:t>人：</w:t>
      </w:r>
      <w:r>
        <w:rPr>
          <w:rFonts w:hint="eastAsia" w:asciiTheme="minorEastAsia" w:hAnsiTheme="minorEastAsia" w:eastAsiaTheme="minorEastAsia" w:cstheme="minorEastAsia"/>
          <w:sz w:val="24"/>
          <w:szCs w:val="24"/>
          <w:highlight w:val="none"/>
          <w:lang w:val="en-US" w:eastAsia="zh-CN"/>
        </w:rPr>
        <w:t>柞水县人民医院门诊医技楼综合项目</w:t>
      </w:r>
    </w:p>
    <w:p w14:paraId="0E7A3924">
      <w:pPr>
        <w:spacing w:line="360" w:lineRule="auto"/>
        <w:ind w:firstLine="580" w:firstLineChars="2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地址：</w:t>
      </w:r>
      <w:r>
        <w:rPr>
          <w:rFonts w:hint="eastAsia" w:asciiTheme="minorEastAsia" w:hAnsiTheme="minorEastAsia" w:eastAsiaTheme="minorEastAsia" w:cstheme="minorEastAsia"/>
          <w:sz w:val="24"/>
          <w:szCs w:val="24"/>
          <w:highlight w:val="none"/>
          <w:lang w:val="en-US" w:eastAsia="zh-CN"/>
        </w:rPr>
        <w:t>柞水县人民医院院内</w:t>
      </w:r>
    </w:p>
    <w:p w14:paraId="06A21F9A">
      <w:pPr>
        <w:spacing w:line="360" w:lineRule="auto"/>
        <w:ind w:firstLine="580" w:firstLineChars="242"/>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谭宝锋</w:t>
      </w:r>
    </w:p>
    <w:p w14:paraId="5090CE87">
      <w:pPr>
        <w:spacing w:line="360" w:lineRule="auto"/>
        <w:ind w:firstLine="580" w:firstLineChars="2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联系电话：</w:t>
      </w:r>
      <w:r>
        <w:rPr>
          <w:rFonts w:hint="eastAsia" w:asciiTheme="minorEastAsia" w:hAnsiTheme="minorEastAsia" w:eastAsiaTheme="minorEastAsia" w:cstheme="minorEastAsia"/>
          <w:sz w:val="24"/>
          <w:szCs w:val="24"/>
          <w:highlight w:val="none"/>
          <w:lang w:val="en-US" w:eastAsia="zh-CN"/>
        </w:rPr>
        <w:t>15353588690</w:t>
      </w:r>
      <w:r>
        <w:rPr>
          <w:rFonts w:hint="eastAsia" w:asciiTheme="minorEastAsia" w:hAnsiTheme="minorEastAsia" w:eastAsiaTheme="minorEastAsia" w:cstheme="minorEastAsia"/>
          <w:sz w:val="24"/>
          <w:szCs w:val="24"/>
        </w:rPr>
        <w:t xml:space="preserve">         </w:t>
      </w:r>
    </w:p>
    <w:p w14:paraId="4ACD586E">
      <w:pPr>
        <w:spacing w:line="360" w:lineRule="auto"/>
        <w:ind w:left="4830" w:hanging="5520" w:hangingChars="2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陕西</w:t>
      </w:r>
      <w:r>
        <w:rPr>
          <w:rFonts w:hint="eastAsia" w:asciiTheme="minorEastAsia" w:hAnsiTheme="minorEastAsia" w:eastAsiaTheme="minorEastAsia" w:cstheme="minorEastAsia"/>
          <w:sz w:val="24"/>
          <w:szCs w:val="24"/>
          <w:lang w:eastAsia="zh-CN"/>
        </w:rPr>
        <w:t>建工集团股份有限公司工程三部</w:t>
      </w:r>
      <w:r>
        <w:rPr>
          <w:rFonts w:hint="eastAsia" w:asciiTheme="minorEastAsia" w:hAnsiTheme="minorEastAsia" w:eastAsiaTheme="minorEastAsia" w:cstheme="minorEastAsia"/>
          <w:sz w:val="24"/>
          <w:szCs w:val="24"/>
        </w:rPr>
        <w:t xml:space="preserve"> </w:t>
      </w:r>
    </w:p>
    <w:p w14:paraId="624C93D2">
      <w:pPr>
        <w:spacing w:line="360" w:lineRule="auto"/>
        <w:ind w:left="4830" w:hanging="5520" w:hangingChars="23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柞水县人民医院门诊医技楼综合项目</w:t>
      </w:r>
      <w:r>
        <w:rPr>
          <w:rFonts w:hint="eastAsia" w:asciiTheme="minorEastAsia" w:hAnsiTheme="minorEastAsia" w:eastAsiaTheme="minorEastAsia" w:cstheme="minorEastAsia"/>
          <w:sz w:val="24"/>
          <w:szCs w:val="24"/>
          <w:lang w:eastAsia="zh-CN"/>
        </w:rPr>
        <w:t>经</w:t>
      </w:r>
      <w:r>
        <w:rPr>
          <w:rFonts w:hint="eastAsia" w:asciiTheme="minorEastAsia" w:hAnsiTheme="minorEastAsia" w:eastAsiaTheme="minorEastAsia" w:cstheme="minorEastAsia"/>
          <w:sz w:val="24"/>
          <w:szCs w:val="24"/>
        </w:rPr>
        <w:t xml:space="preserve">理部                                     </w:t>
      </w:r>
    </w:p>
    <w:p w14:paraId="796CB10E">
      <w:pPr>
        <w:spacing w:line="360" w:lineRule="auto"/>
        <w:ind w:left="4830" w:hanging="5520" w:hangingChars="2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highlight w:val="none"/>
          <w:lang w:val="en-US" w:eastAsia="zh-CN"/>
        </w:rPr>
        <w:t>2026年7月17日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长城黑体">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MTY0NTU5MWQ2YTM2NWU3NjM5M2JmYThkM2U4YWQifQ=="/>
  </w:docVars>
  <w:rsids>
    <w:rsidRoot w:val="00000000"/>
    <w:rsid w:val="07DF692A"/>
    <w:rsid w:val="080C7D7C"/>
    <w:rsid w:val="17047A5D"/>
    <w:rsid w:val="1AD31C39"/>
    <w:rsid w:val="1D6D0F22"/>
    <w:rsid w:val="1EEA2E2A"/>
    <w:rsid w:val="244D0378"/>
    <w:rsid w:val="2A3915A1"/>
    <w:rsid w:val="31CF4A6C"/>
    <w:rsid w:val="3291437A"/>
    <w:rsid w:val="35634195"/>
    <w:rsid w:val="3FA04083"/>
    <w:rsid w:val="3FDC7C1A"/>
    <w:rsid w:val="418851BB"/>
    <w:rsid w:val="44B1130C"/>
    <w:rsid w:val="47371170"/>
    <w:rsid w:val="4F861BFA"/>
    <w:rsid w:val="505479DB"/>
    <w:rsid w:val="5778140B"/>
    <w:rsid w:val="5F0F26A4"/>
    <w:rsid w:val="62EF6A7F"/>
    <w:rsid w:val="68206C39"/>
    <w:rsid w:val="6AC61008"/>
    <w:rsid w:val="70553DF8"/>
    <w:rsid w:val="7835127A"/>
    <w:rsid w:val="7B342B62"/>
    <w:rsid w:val="7C247FB7"/>
    <w:rsid w:val="7D817A70"/>
    <w:rsid w:val="7E116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line="360" w:lineRule="auto"/>
      <w:ind w:firstLine="200" w:firstLineChars="200"/>
    </w:pPr>
    <w:rPr>
      <w:sz w:val="24"/>
    </w:rPr>
  </w:style>
  <w:style w:type="paragraph" w:styleId="3">
    <w:name w:val="Document Map"/>
    <w:basedOn w:val="1"/>
    <w:unhideWhenUsed/>
    <w:qFormat/>
    <w:uiPriority w:val="99"/>
  </w:style>
  <w:style w:type="paragraph" w:styleId="4">
    <w:name w:val="Body Text"/>
    <w:basedOn w:val="1"/>
    <w:qFormat/>
    <w:uiPriority w:val="0"/>
    <w:rPr>
      <w:rFonts w:eastAsia="长城黑体"/>
      <w:sz w:val="44"/>
      <w:szCs w:val="20"/>
    </w:rPr>
  </w:style>
  <w:style w:type="paragraph" w:styleId="5">
    <w:name w:val="Body Text Indent"/>
    <w:basedOn w:val="1"/>
    <w:next w:val="6"/>
    <w:qFormat/>
    <w:uiPriority w:val="0"/>
    <w:pPr>
      <w:widowControl/>
      <w:spacing w:after="120"/>
      <w:ind w:left="420" w:leftChars="200"/>
      <w:jc w:val="left"/>
    </w:pPr>
    <w:rPr>
      <w:kern w:val="0"/>
      <w:sz w:val="20"/>
      <w:szCs w:val="20"/>
    </w:rPr>
  </w:style>
  <w:style w:type="paragraph" w:styleId="6">
    <w:name w:val="Body Text First Indent 2"/>
    <w:basedOn w:val="5"/>
    <w:qFormat/>
    <w:uiPriority w:val="0"/>
    <w:pPr>
      <w:ind w:firstLine="420" w:firstLineChars="200"/>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99"/>
    <w:rPr>
      <w:color w:val="0000FF"/>
      <w:u w:val="single"/>
    </w:rPr>
  </w:style>
  <w:style w:type="paragraph" w:customStyle="1" w:styleId="11">
    <w:name w:val="Char"/>
    <w:basedOn w:val="1"/>
    <w:qFormat/>
    <w:uiPriority w:val="0"/>
    <w:pPr>
      <w:widowControl/>
      <w:spacing w:line="240" w:lineRule="exact"/>
      <w:jc w:val="left"/>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1121</Words>
  <Characters>1221</Characters>
  <Lines>0</Lines>
  <Paragraphs>0</Paragraphs>
  <TotalTime>1</TotalTime>
  <ScaleCrop>false</ScaleCrop>
  <LinksUpToDate>false</LinksUpToDate>
  <CharactersWithSpaces>1421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天方夜谭</cp:lastModifiedBy>
  <dcterms:modified xsi:type="dcterms:W3CDTF">2026-07-17T07:46:06Z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75ED8E38E9954B8AAF1C367A46DA5667</vt:lpwstr>
  </property>
  <property fmtid="{D5CDD505-2E9C-101B-9397-08002B2CF9AE}" pid="4" name="KSOTemplateDocerSaveRecord">
    <vt:lpwstr>eyJoZGlkIjoiYjU5N2Q5MzQwZjNhZTZlOTlmZTFmYWM1YjI2N2UxNDAiLCJ1c2VySWQiOiIzMjQwNDgwMDAifQ==</vt:lpwstr>
  </property>
</Properties>
</file>