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4AFD9">
      <w:pPr>
        <w:tabs>
          <w:tab w:val="left" w:pos="2205"/>
        </w:tabs>
        <w:ind w:firstLine="3855" w:firstLineChars="1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32"/>
          <w:szCs w:val="32"/>
        </w:rPr>
        <w:t>招标公告</w:t>
      </w:r>
    </w:p>
    <w:p w14:paraId="6E9183B6">
      <w:pPr>
        <w:spacing w:line="360" w:lineRule="auto"/>
        <w:ind w:firstLine="580" w:firstLineChars="242"/>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bidi="zh-CN"/>
        </w:rPr>
        <w:t>本</w:t>
      </w:r>
      <w:r>
        <w:rPr>
          <w:rFonts w:hint="eastAsia" w:asciiTheme="minorEastAsia" w:hAnsiTheme="minorEastAsia" w:eastAsiaTheme="minorEastAsia" w:cstheme="minorEastAsia"/>
          <w:sz w:val="24"/>
          <w:szCs w:val="24"/>
          <w:lang w:val="zh-CN"/>
        </w:rPr>
        <w:t>招标项目</w:t>
      </w:r>
      <w:r>
        <w:rPr>
          <w:rFonts w:hint="eastAsia" w:asciiTheme="minorEastAsia" w:hAnsiTheme="minorEastAsia" w:eastAsiaTheme="minorEastAsia" w:cstheme="minorEastAsia"/>
          <w:sz w:val="24"/>
          <w:szCs w:val="24"/>
          <w:lang w:val="en-US" w:eastAsia="zh-CN"/>
        </w:rPr>
        <w:t>柞水县人民医院门诊医技楼综合项目</w:t>
      </w:r>
      <w:r>
        <w:rPr>
          <w:rFonts w:hint="eastAsia" w:asciiTheme="minorEastAsia" w:hAnsiTheme="minorEastAsia" w:eastAsiaTheme="minorEastAsia" w:cstheme="minorEastAsia"/>
          <w:sz w:val="24"/>
          <w:szCs w:val="24"/>
          <w:lang w:val="zh-CN"/>
        </w:rPr>
        <w:t>已具备招标条件，现对</w:t>
      </w:r>
    </w:p>
    <w:p w14:paraId="374BD36C">
      <w:pPr>
        <w:spacing w:line="360" w:lineRule="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u w:val="single"/>
          <w:lang w:val="en-US" w:eastAsia="zh-CN"/>
        </w:rPr>
        <w:t>幕墙分包</w:t>
      </w:r>
      <w:r>
        <w:rPr>
          <w:rFonts w:hint="eastAsia" w:asciiTheme="minorEastAsia" w:hAnsiTheme="minorEastAsia" w:eastAsiaTheme="minorEastAsia" w:cstheme="minorEastAsia"/>
          <w:sz w:val="24"/>
          <w:szCs w:val="24"/>
          <w:lang w:val="zh-CN"/>
        </w:rPr>
        <w:t>进行公开招标。</w:t>
      </w:r>
    </w:p>
    <w:p w14:paraId="3C54DF09">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1、工程概况：</w:t>
      </w:r>
      <w:r>
        <w:rPr>
          <w:rFonts w:hint="eastAsia" w:asciiTheme="minorEastAsia" w:hAnsiTheme="minorEastAsia" w:eastAsiaTheme="minorEastAsia" w:cstheme="minorEastAsia"/>
          <w:sz w:val="24"/>
          <w:szCs w:val="24"/>
          <w:lang w:val="en-US" w:eastAsia="zh-CN"/>
        </w:rPr>
        <w:t>该项目为框架结构，总面积约21693.81㎡；其中：地上15547.79㎡，地下6052.52㎡。</w:t>
      </w:r>
    </w:p>
    <w:p w14:paraId="0732D81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2、工程地点：</w:t>
      </w:r>
      <w:r>
        <w:rPr>
          <w:rFonts w:hint="eastAsia" w:asciiTheme="minorEastAsia" w:hAnsiTheme="minorEastAsia" w:eastAsiaTheme="minorEastAsia" w:cstheme="minorEastAsia"/>
          <w:sz w:val="24"/>
          <w:szCs w:val="24"/>
          <w:lang w:val="en-US" w:eastAsia="zh-CN"/>
        </w:rPr>
        <w:t>柞水县人民医院院内；</w:t>
      </w:r>
      <w:r>
        <w:rPr>
          <w:rFonts w:hint="eastAsia" w:asciiTheme="minorEastAsia" w:hAnsiTheme="minorEastAsia" w:eastAsiaTheme="minorEastAsia" w:cstheme="minorEastAsia"/>
          <w:sz w:val="24"/>
          <w:szCs w:val="24"/>
        </w:rPr>
        <w:t xml:space="preserve">  </w:t>
      </w:r>
    </w:p>
    <w:p w14:paraId="4C112A81">
      <w:pPr>
        <w:spacing w:line="360" w:lineRule="auto"/>
        <w:ind w:left="5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3、招标数量：      </w:t>
      </w:r>
    </w:p>
    <w:p w14:paraId="13FCA5CE">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3.1拟招标规格数量（适用于物资、机械的采购和租赁）：</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493A5788">
      <w:pPr>
        <w:spacing w:line="360" w:lineRule="auto"/>
        <w:ind w:firstLine="580" w:firstLineChars="24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3.2拟招标规格数量（适用于劳务、专业分包）：</w:t>
      </w:r>
    </w:p>
    <w:tbl>
      <w:tblPr>
        <w:tblStyle w:val="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74"/>
        <w:gridCol w:w="750"/>
        <w:gridCol w:w="976"/>
        <w:gridCol w:w="1202"/>
        <w:gridCol w:w="4375"/>
      </w:tblGrid>
      <w:tr w14:paraId="37AE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0" w:type="dxa"/>
            <w:noWrap w:val="0"/>
            <w:vAlign w:val="center"/>
          </w:tcPr>
          <w:p w14:paraId="509FB3D6">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序号</w:t>
            </w:r>
          </w:p>
        </w:tc>
        <w:tc>
          <w:tcPr>
            <w:tcW w:w="1274" w:type="dxa"/>
            <w:noWrap w:val="0"/>
            <w:vAlign w:val="center"/>
          </w:tcPr>
          <w:p w14:paraId="5FEB2FA5">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分项</w:t>
            </w:r>
          </w:p>
          <w:p w14:paraId="0AFEFE1F">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工程名称</w:t>
            </w:r>
          </w:p>
        </w:tc>
        <w:tc>
          <w:tcPr>
            <w:tcW w:w="750" w:type="dxa"/>
            <w:noWrap w:val="0"/>
            <w:vAlign w:val="center"/>
          </w:tcPr>
          <w:p w14:paraId="6A65DAB4">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单位</w:t>
            </w:r>
          </w:p>
        </w:tc>
        <w:tc>
          <w:tcPr>
            <w:tcW w:w="976" w:type="dxa"/>
            <w:noWrap w:val="0"/>
            <w:vAlign w:val="center"/>
          </w:tcPr>
          <w:p w14:paraId="23D3C50C">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不含税</w:t>
            </w:r>
          </w:p>
          <w:p w14:paraId="6CAC93D6">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单价</w:t>
            </w:r>
          </w:p>
        </w:tc>
        <w:tc>
          <w:tcPr>
            <w:tcW w:w="1202" w:type="dxa"/>
            <w:noWrap w:val="0"/>
            <w:vAlign w:val="center"/>
          </w:tcPr>
          <w:p w14:paraId="0E5AB500">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工程量</w:t>
            </w:r>
          </w:p>
        </w:tc>
        <w:tc>
          <w:tcPr>
            <w:tcW w:w="4375" w:type="dxa"/>
            <w:noWrap w:val="0"/>
            <w:vAlign w:val="center"/>
          </w:tcPr>
          <w:p w14:paraId="1F9DFBC1">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备注</w:t>
            </w:r>
          </w:p>
        </w:tc>
      </w:tr>
      <w:tr w14:paraId="5A7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80" w:type="dxa"/>
            <w:noWrap w:val="0"/>
            <w:vAlign w:val="center"/>
          </w:tcPr>
          <w:p w14:paraId="42804D57">
            <w:pPr>
              <w:keepNext w:val="0"/>
              <w:keepLines w:val="0"/>
              <w:widowControl/>
              <w:numPr>
                <w:ilvl w:val="0"/>
                <w:numId w:val="0"/>
              </w:numPr>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274" w:type="dxa"/>
            <w:noWrap w:val="0"/>
            <w:vAlign w:val="center"/>
          </w:tcPr>
          <w:p w14:paraId="280DE6AE">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通高式</w:t>
            </w:r>
            <w:r>
              <w:rPr>
                <w:rFonts w:hint="eastAsia" w:ascii="宋体" w:hAnsi="宋体" w:eastAsia="宋体" w:cs="宋体"/>
                <w:kern w:val="0"/>
                <w:sz w:val="21"/>
                <w:szCs w:val="21"/>
                <w:highlight w:val="none"/>
                <w:lang w:eastAsia="zh-CN"/>
              </w:rPr>
              <w:t>幕墙</w:t>
            </w:r>
          </w:p>
        </w:tc>
        <w:tc>
          <w:tcPr>
            <w:tcW w:w="750" w:type="dxa"/>
            <w:noWrap w:val="0"/>
            <w:vAlign w:val="center"/>
          </w:tcPr>
          <w:p w14:paraId="0AAEB1AE">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color w:val="000000"/>
                <w:kern w:val="0"/>
                <w:sz w:val="21"/>
                <w:szCs w:val="21"/>
                <w:highlight w:val="none"/>
                <w:lang w:val="en-US" w:eastAsia="zh-CN" w:bidi="ar-SA"/>
              </w:rPr>
              <w:t>㎡</w:t>
            </w:r>
          </w:p>
        </w:tc>
        <w:tc>
          <w:tcPr>
            <w:tcW w:w="976" w:type="dxa"/>
            <w:noWrap w:val="0"/>
            <w:vAlign w:val="center"/>
          </w:tcPr>
          <w:p w14:paraId="690036E1">
            <w:pPr>
              <w:keepNext w:val="0"/>
              <w:keepLines w:val="0"/>
              <w:widowControl/>
              <w:numPr>
                <w:ilvl w:val="0"/>
                <w:numId w:val="0"/>
              </w:numPr>
              <w:suppressLineNumbers w:val="0"/>
              <w:jc w:val="center"/>
              <w:textAlignment w:val="center"/>
              <w:rPr>
                <w:rFonts w:hint="eastAsia" w:ascii="宋体" w:hAnsi="宋体" w:eastAsia="宋体" w:cs="宋体"/>
                <w:kern w:val="0"/>
                <w:sz w:val="21"/>
                <w:szCs w:val="21"/>
                <w:highlight w:val="none"/>
                <w:lang w:eastAsia="zh-CN"/>
              </w:rPr>
            </w:pPr>
          </w:p>
        </w:tc>
        <w:tc>
          <w:tcPr>
            <w:tcW w:w="1202" w:type="dxa"/>
            <w:noWrap w:val="0"/>
            <w:vAlign w:val="center"/>
          </w:tcPr>
          <w:p w14:paraId="753C0E44">
            <w:pPr>
              <w:keepNext w:val="0"/>
              <w:keepLines w:val="0"/>
              <w:widowControl/>
              <w:numPr>
                <w:ilvl w:val="0"/>
                <w:numId w:val="0"/>
              </w:numPr>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602.38</w:t>
            </w:r>
          </w:p>
        </w:tc>
        <w:tc>
          <w:tcPr>
            <w:tcW w:w="4375" w:type="dxa"/>
            <w:noWrap w:val="0"/>
            <w:vAlign w:val="center"/>
          </w:tcPr>
          <w:p w14:paraId="741D031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1.6+12Ar+6双钢化中空Low-e明框玻璃幕墙（局部6+12Ar+6双钢化中空Low-e明框玻璃幕墙背衬3mm铝塑板）</w:t>
            </w:r>
          </w:p>
          <w:p w14:paraId="0C8F6A73">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2.横梁：70系列断桥隔热铝型材</w:t>
            </w:r>
          </w:p>
          <w:p w14:paraId="334E18E9">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3.立柱：70*164系列断桥隔热铝型材</w:t>
            </w:r>
          </w:p>
          <w:p w14:paraId="044D66E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4.具体做法详见二次深化设计图纸，报价包含封边收口、防火封堵、80厚保温、防火隔离带</w:t>
            </w:r>
          </w:p>
        </w:tc>
      </w:tr>
      <w:tr w14:paraId="60D6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0" w:type="dxa"/>
            <w:noWrap w:val="0"/>
            <w:vAlign w:val="center"/>
          </w:tcPr>
          <w:p w14:paraId="731C0CA1">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2</w:t>
            </w:r>
          </w:p>
        </w:tc>
        <w:tc>
          <w:tcPr>
            <w:tcW w:w="1274" w:type="dxa"/>
            <w:noWrap w:val="0"/>
            <w:vAlign w:val="center"/>
          </w:tcPr>
          <w:p w14:paraId="2C6C42EC">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造型</w:t>
            </w:r>
            <w:r>
              <w:rPr>
                <w:rFonts w:hint="eastAsia" w:ascii="宋体" w:hAnsi="宋体" w:eastAsia="宋体" w:cs="宋体"/>
                <w:color w:val="000000"/>
                <w:kern w:val="0"/>
                <w:sz w:val="21"/>
                <w:szCs w:val="21"/>
                <w:highlight w:val="none"/>
                <w:lang w:val="en-US" w:eastAsia="zh-CN" w:bidi="ar-SA"/>
              </w:rPr>
              <w:t>门头</w:t>
            </w:r>
          </w:p>
        </w:tc>
        <w:tc>
          <w:tcPr>
            <w:tcW w:w="750" w:type="dxa"/>
            <w:noWrap w:val="0"/>
            <w:vAlign w:val="center"/>
          </w:tcPr>
          <w:p w14:paraId="638E5AEA">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项</w:t>
            </w:r>
          </w:p>
        </w:tc>
        <w:tc>
          <w:tcPr>
            <w:tcW w:w="976" w:type="dxa"/>
            <w:noWrap w:val="0"/>
            <w:vAlign w:val="center"/>
          </w:tcPr>
          <w:p w14:paraId="7EE860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lang w:val="en-US" w:eastAsia="zh-CN"/>
              </w:rPr>
            </w:pPr>
          </w:p>
        </w:tc>
        <w:tc>
          <w:tcPr>
            <w:tcW w:w="1202" w:type="dxa"/>
            <w:noWrap w:val="0"/>
            <w:vAlign w:val="center"/>
          </w:tcPr>
          <w:p w14:paraId="49D7F8F5">
            <w:pPr>
              <w:keepNext w:val="0"/>
              <w:keepLines w:val="0"/>
              <w:widowControl/>
              <w:suppressLineNumbers w:val="0"/>
              <w:jc w:val="center"/>
              <w:textAlignment w:val="center"/>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p>
        </w:tc>
        <w:tc>
          <w:tcPr>
            <w:tcW w:w="4375" w:type="dxa"/>
            <w:noWrap w:val="0"/>
            <w:vAlign w:val="center"/>
          </w:tcPr>
          <w:p w14:paraId="3F952EC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1、此项以</w:t>
            </w:r>
            <w:r>
              <w:rPr>
                <w:rFonts w:hint="eastAsia" w:ascii="宋体" w:hAnsi="宋体" w:cs="宋体"/>
                <w:b w:val="0"/>
                <w:bCs w:val="0"/>
                <w:spacing w:val="-1"/>
                <w:sz w:val="21"/>
                <w:szCs w:val="21"/>
                <w:highlight w:val="none"/>
                <w:u w:val="none" w:color="auto"/>
                <w:lang w:eastAsia="zh-CN"/>
              </w:rPr>
              <w:t>暂定含税总价</w:t>
            </w:r>
            <w:r>
              <w:rPr>
                <w:rFonts w:hint="eastAsia" w:ascii="宋体" w:hAnsi="宋体" w:cs="宋体"/>
                <w:kern w:val="0"/>
                <w:sz w:val="21"/>
                <w:szCs w:val="21"/>
                <w:highlight w:val="none"/>
                <w:lang w:val="en-US" w:eastAsia="zh-CN"/>
              </w:rPr>
              <w:t>上报下浮率</w:t>
            </w:r>
          </w:p>
          <w:p w14:paraId="42E84CA1">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2、</w:t>
            </w:r>
            <w:r>
              <w:rPr>
                <w:rFonts w:hint="eastAsia" w:ascii="宋体" w:hAnsi="宋体" w:cs="宋体"/>
                <w:i w:val="0"/>
                <w:color w:val="000000"/>
                <w:kern w:val="0"/>
                <w:sz w:val="21"/>
                <w:szCs w:val="21"/>
                <w:highlight w:val="none"/>
                <w:u w:val="none"/>
                <w:lang w:val="en-US" w:eastAsia="zh-CN" w:bidi="ar"/>
              </w:rPr>
              <w:t>具体做法和质量要求为建设单位（柞水县人民医院）、设计单位审核后的图纸及变更为准</w:t>
            </w:r>
          </w:p>
        </w:tc>
      </w:tr>
      <w:tr w14:paraId="49C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80" w:type="dxa"/>
            <w:noWrap w:val="0"/>
            <w:vAlign w:val="center"/>
          </w:tcPr>
          <w:p w14:paraId="4C250FEC">
            <w:pPr>
              <w:keepNext w:val="0"/>
              <w:keepLines w:val="0"/>
              <w:widowControl/>
              <w:numPr>
                <w:ilvl w:val="0"/>
                <w:numId w:val="0"/>
              </w:numPr>
              <w:suppressLineNumbers w:val="0"/>
              <w:ind w:left="0" w:leftChars="0" w:firstLine="0" w:firstLineChars="0"/>
              <w:jc w:val="center"/>
              <w:textAlignment w:val="center"/>
              <w:rPr>
                <w:rFonts w:hint="default"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3</w:t>
            </w:r>
          </w:p>
        </w:tc>
        <w:tc>
          <w:tcPr>
            <w:tcW w:w="1274" w:type="dxa"/>
            <w:noWrap w:val="0"/>
            <w:vAlign w:val="center"/>
          </w:tcPr>
          <w:p w14:paraId="48481374">
            <w:pPr>
              <w:keepNext w:val="0"/>
              <w:keepLines w:val="0"/>
              <w:widowControl/>
              <w:numPr>
                <w:ilvl w:val="0"/>
                <w:numId w:val="0"/>
              </w:numPr>
              <w:suppressLineNumbers w:val="0"/>
              <w:ind w:left="0" w:leftChars="0" w:firstLine="0" w:firstLineChars="0"/>
              <w:jc w:val="center"/>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sz w:val="21"/>
                <w:szCs w:val="21"/>
                <w:highlight w:val="none"/>
                <w:u w:val="none"/>
                <w:vertAlign w:val="baseline"/>
                <w:lang w:val="en-US" w:eastAsia="zh-CN"/>
              </w:rPr>
              <w:t>观光电梯基础、钢结构框架、电梯幕墙玻璃</w:t>
            </w:r>
          </w:p>
        </w:tc>
        <w:tc>
          <w:tcPr>
            <w:tcW w:w="750" w:type="dxa"/>
            <w:noWrap w:val="0"/>
            <w:vAlign w:val="center"/>
          </w:tcPr>
          <w:p w14:paraId="3D3C3967">
            <w:pPr>
              <w:keepNext w:val="0"/>
              <w:keepLines w:val="0"/>
              <w:widowControl/>
              <w:numPr>
                <w:ilvl w:val="0"/>
                <w:numId w:val="0"/>
              </w:numPr>
              <w:suppressLineNumbers w:val="0"/>
              <w:ind w:left="0" w:leftChars="0" w:firstLine="0" w:firstLineChars="0"/>
              <w:jc w:val="center"/>
              <w:textAlignment w:val="center"/>
              <w:rPr>
                <w:rFonts w:hint="eastAsia" w:ascii="宋体" w:hAnsi="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项</w:t>
            </w:r>
          </w:p>
        </w:tc>
        <w:tc>
          <w:tcPr>
            <w:tcW w:w="976" w:type="dxa"/>
            <w:noWrap w:val="0"/>
            <w:vAlign w:val="center"/>
          </w:tcPr>
          <w:p w14:paraId="27218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highlight w:val="none"/>
                <w:lang w:val="en-US" w:eastAsia="zh-CN"/>
              </w:rPr>
            </w:pPr>
          </w:p>
        </w:tc>
        <w:tc>
          <w:tcPr>
            <w:tcW w:w="1202" w:type="dxa"/>
            <w:noWrap w:val="0"/>
            <w:vAlign w:val="center"/>
          </w:tcPr>
          <w:p w14:paraId="7461ACB2">
            <w:pPr>
              <w:keepNext w:val="0"/>
              <w:keepLines w:val="0"/>
              <w:widowControl/>
              <w:suppressLineNumbers w:val="0"/>
              <w:jc w:val="center"/>
              <w:textAlignment w:val="center"/>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w:t>
            </w:r>
          </w:p>
        </w:tc>
        <w:tc>
          <w:tcPr>
            <w:tcW w:w="4375" w:type="dxa"/>
            <w:noWrap w:val="0"/>
            <w:vAlign w:val="center"/>
          </w:tcPr>
          <w:p w14:paraId="605E586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w:t>
            </w:r>
            <w:r>
              <w:rPr>
                <w:rFonts w:hint="eastAsia" w:ascii="宋体" w:hAnsi="宋体" w:cs="宋体"/>
                <w:kern w:val="0"/>
                <w:sz w:val="21"/>
                <w:szCs w:val="21"/>
                <w:highlight w:val="none"/>
                <w:lang w:val="en-US" w:eastAsia="zh-CN"/>
              </w:rPr>
              <w:t>此项以</w:t>
            </w:r>
            <w:r>
              <w:rPr>
                <w:rFonts w:hint="eastAsia" w:ascii="宋体" w:hAnsi="宋体" w:cs="宋体"/>
                <w:b w:val="0"/>
                <w:bCs w:val="0"/>
                <w:spacing w:val="-1"/>
                <w:sz w:val="21"/>
                <w:szCs w:val="21"/>
                <w:highlight w:val="none"/>
                <w:u w:val="none" w:color="auto"/>
                <w:lang w:eastAsia="zh-CN"/>
              </w:rPr>
              <w:t>暂定含税总价</w:t>
            </w:r>
            <w:r>
              <w:rPr>
                <w:rFonts w:hint="eastAsia" w:ascii="宋体" w:hAnsi="宋体" w:cs="宋体"/>
                <w:kern w:val="0"/>
                <w:sz w:val="21"/>
                <w:szCs w:val="21"/>
                <w:highlight w:val="none"/>
                <w:lang w:val="en-US" w:eastAsia="zh-CN"/>
              </w:rPr>
              <w:t>上报下浮率</w:t>
            </w:r>
          </w:p>
          <w:p w14:paraId="64CEA2D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cs="宋体"/>
                <w:kern w:val="0"/>
                <w:sz w:val="21"/>
                <w:szCs w:val="21"/>
                <w:highlight w:val="none"/>
                <w:lang w:val="en-US" w:eastAsia="zh-CN"/>
              </w:rPr>
            </w:pPr>
            <w:r>
              <w:rPr>
                <w:rFonts w:hint="eastAsia" w:ascii="宋体" w:hAnsi="宋体" w:cs="宋体"/>
                <w:i w:val="0"/>
                <w:color w:val="000000"/>
                <w:kern w:val="0"/>
                <w:sz w:val="21"/>
                <w:szCs w:val="21"/>
                <w:highlight w:val="none"/>
                <w:u w:val="none"/>
                <w:lang w:val="en-US" w:eastAsia="zh-CN" w:bidi="ar"/>
              </w:rPr>
              <w:t>2、具体做法和质量要求为建设单位（柞水县人民医院）、设计单位审核后的图纸及变更为准</w:t>
            </w:r>
          </w:p>
        </w:tc>
      </w:tr>
      <w:tr w14:paraId="653B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noWrap w:val="0"/>
            <w:vAlign w:val="center"/>
          </w:tcPr>
          <w:p w14:paraId="531D7EBB">
            <w:pPr>
              <w:keepNext w:val="0"/>
              <w:keepLines w:val="0"/>
              <w:pageBreakBefore w:val="0"/>
              <w:numPr>
                <w:ilvl w:val="0"/>
                <w:numId w:val="0"/>
              </w:numPr>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备注</w:t>
            </w:r>
          </w:p>
        </w:tc>
        <w:tc>
          <w:tcPr>
            <w:tcW w:w="8577" w:type="dxa"/>
            <w:gridSpan w:val="5"/>
            <w:noWrap w:val="0"/>
            <w:vAlign w:val="center"/>
          </w:tcPr>
          <w:p w14:paraId="67B705F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left"/>
              <w:textAlignment w:val="auto"/>
              <w:rPr>
                <w:rFonts w:hint="eastAsia"/>
                <w:highlight w:val="none"/>
                <w:lang w:val="en-US" w:eastAsia="zh-CN"/>
              </w:rPr>
            </w:pPr>
            <w:r>
              <w:rPr>
                <w:rFonts w:hint="eastAsia"/>
                <w:highlight w:val="none"/>
                <w:lang w:eastAsia="zh-CN"/>
              </w:rPr>
              <w:t>以上报价均要求为不含税单价，为检验、试验合格后的成活价，包括</w:t>
            </w:r>
            <w:r>
              <w:rPr>
                <w:rFonts w:hint="eastAsia"/>
                <w:highlight w:val="none"/>
                <w:lang w:val="en-US" w:eastAsia="zh-CN"/>
              </w:rPr>
              <w:t>施工</w:t>
            </w:r>
            <w:r>
              <w:rPr>
                <w:rFonts w:hint="eastAsia"/>
                <w:highlight w:val="none"/>
                <w:lang w:eastAsia="zh-CN"/>
              </w:rPr>
              <w:t>所需要的人工、</w:t>
            </w:r>
            <w:r>
              <w:rPr>
                <w:rFonts w:hint="eastAsia"/>
                <w:highlight w:val="none"/>
                <w:lang w:val="en-US" w:eastAsia="zh-CN"/>
              </w:rPr>
              <w:t>材料</w:t>
            </w:r>
            <w:r>
              <w:rPr>
                <w:rFonts w:hint="eastAsia" w:ascii="Times New Roman" w:hAnsi="Times New Roman" w:eastAsia="宋体" w:cs="Times New Roman"/>
                <w:highlight w:val="none"/>
                <w:lang w:val="en-US" w:eastAsia="zh-CN"/>
              </w:rPr>
              <w:t>（含</w:t>
            </w:r>
            <w:r>
              <w:rPr>
                <w:rFonts w:hint="default" w:ascii="Times New Roman" w:hAnsi="Times New Roman" w:eastAsia="宋体" w:cs="Times New Roman"/>
                <w:highlight w:val="none"/>
                <w:lang w:val="en-US" w:eastAsia="zh-CN"/>
              </w:rPr>
              <w:t>材料</w:t>
            </w:r>
            <w:r>
              <w:rPr>
                <w:rFonts w:hint="eastAsia" w:ascii="Times New Roman" w:hAnsi="Times New Roman" w:eastAsia="宋体" w:cs="Times New Roman"/>
                <w:highlight w:val="none"/>
                <w:lang w:val="en-US" w:eastAsia="zh-CN"/>
              </w:rPr>
              <w:t>检测、</w:t>
            </w:r>
            <w:r>
              <w:rPr>
                <w:rFonts w:hint="default" w:ascii="Times New Roman" w:hAnsi="Times New Roman" w:eastAsia="宋体" w:cs="Times New Roman"/>
                <w:highlight w:val="none"/>
                <w:lang w:val="en-US" w:eastAsia="zh-CN"/>
              </w:rPr>
              <w:t>复检</w:t>
            </w:r>
            <w:r>
              <w:rPr>
                <w:rFonts w:hint="eastAsia" w:ascii="Times New Roman" w:hAnsi="Times New Roman" w:eastAsia="宋体" w:cs="Times New Roman"/>
                <w:highlight w:val="none"/>
                <w:lang w:val="en-US" w:eastAsia="zh-CN"/>
              </w:rPr>
              <w:t>、试验及现场检测</w:t>
            </w:r>
            <w:r>
              <w:rPr>
                <w:rFonts w:hint="default" w:ascii="Times New Roman" w:hAnsi="Times New Roman" w:eastAsia="宋体" w:cs="Times New Roman"/>
                <w:highlight w:val="none"/>
                <w:lang w:val="en-US" w:eastAsia="zh-CN"/>
              </w:rPr>
              <w:t>费用</w:t>
            </w:r>
            <w:r>
              <w:rPr>
                <w:rFonts w:hint="eastAsia" w:ascii="Times New Roman" w:hAnsi="Times New Roman" w:eastAsia="宋体" w:cs="Times New Roman"/>
                <w:highlight w:val="none"/>
                <w:lang w:val="en-US" w:eastAsia="zh-CN"/>
              </w:rPr>
              <w:t>）</w:t>
            </w:r>
            <w:r>
              <w:rPr>
                <w:rFonts w:hint="eastAsia"/>
                <w:highlight w:val="none"/>
                <w:lang w:val="en-US" w:eastAsia="zh-CN"/>
              </w:rPr>
              <w:t>、</w:t>
            </w:r>
            <w:r>
              <w:rPr>
                <w:rFonts w:hint="eastAsia"/>
                <w:highlight w:val="none"/>
                <w:lang w:eastAsia="zh-CN"/>
              </w:rPr>
              <w:t>机械</w:t>
            </w:r>
            <w:r>
              <w:rPr>
                <w:rFonts w:hint="eastAsia" w:ascii="Times New Roman" w:hAnsi="Times New Roman" w:eastAsia="宋体" w:cs="Times New Roman"/>
                <w:highlight w:val="none"/>
                <w:lang w:val="en-US" w:eastAsia="zh-CN"/>
              </w:rPr>
              <w:t>（含吊篮</w:t>
            </w:r>
            <w:r>
              <w:rPr>
                <w:rFonts w:hint="eastAsia" w:cs="Times New Roman"/>
                <w:highlight w:val="none"/>
                <w:lang w:val="en-US" w:eastAsia="zh-CN"/>
              </w:rPr>
              <w:t>、曲臂车、剪叉式登高车</w:t>
            </w:r>
            <w:r>
              <w:rPr>
                <w:rFonts w:hint="eastAsia" w:ascii="Times New Roman" w:hAnsi="Times New Roman" w:eastAsia="宋体" w:cs="Times New Roman"/>
                <w:highlight w:val="none"/>
                <w:lang w:val="en-US" w:eastAsia="zh-CN"/>
              </w:rPr>
              <w:t>等）</w:t>
            </w:r>
            <w:r>
              <w:rPr>
                <w:rFonts w:hint="eastAsia"/>
                <w:highlight w:val="none"/>
                <w:lang w:eastAsia="zh-CN"/>
              </w:rPr>
              <w:t>、</w:t>
            </w:r>
            <w:r>
              <w:rPr>
                <w:rFonts w:hint="eastAsia"/>
                <w:highlight w:val="none"/>
                <w:lang w:val="en-US" w:eastAsia="zh-CN"/>
              </w:rPr>
              <w:t>脚手架的搭拆、租赁及材料多次搬运费用、深化设计费、管理费、利润、现场检测、运输、</w:t>
            </w:r>
            <w:r>
              <w:rPr>
                <w:rFonts w:hint="eastAsia"/>
                <w:highlight w:val="none"/>
                <w:lang w:eastAsia="zh-CN"/>
              </w:rPr>
              <w:t>安全文明施工、</w:t>
            </w:r>
            <w:r>
              <w:rPr>
                <w:rFonts w:hint="eastAsia"/>
                <w:highlight w:val="none"/>
                <w:lang w:val="en-US" w:eastAsia="zh-CN"/>
              </w:rPr>
              <w:t>垃圾清运费</w:t>
            </w:r>
            <w:r>
              <w:rPr>
                <w:rFonts w:hint="eastAsia"/>
                <w:highlight w:val="none"/>
                <w:lang w:eastAsia="zh-CN"/>
              </w:rPr>
              <w:t>、完工后的保洁、治污减霾、场外协调、</w:t>
            </w:r>
            <w:r>
              <w:rPr>
                <w:rFonts w:hint="eastAsia"/>
                <w:highlight w:val="none"/>
                <w:lang w:val="en-US" w:eastAsia="zh-CN"/>
              </w:rPr>
              <w:t>措施费及规费</w:t>
            </w:r>
            <w:r>
              <w:rPr>
                <w:rFonts w:hint="eastAsia"/>
                <w:highlight w:val="none"/>
                <w:lang w:eastAsia="zh-CN"/>
              </w:rPr>
              <w:t>的所有费用</w:t>
            </w:r>
            <w:r>
              <w:rPr>
                <w:rFonts w:hint="eastAsia"/>
                <w:highlight w:val="none"/>
                <w:lang w:val="en-US" w:eastAsia="zh-CN"/>
              </w:rPr>
              <w:t>。</w:t>
            </w:r>
          </w:p>
          <w:p w14:paraId="6CDA2928">
            <w:pPr>
              <w:pStyle w:val="2"/>
              <w:numPr>
                <w:ilvl w:val="0"/>
                <w:numId w:val="1"/>
              </w:numPr>
              <w:spacing w:line="360" w:lineRule="auto"/>
              <w:rPr>
                <w:rFonts w:hint="eastAsia"/>
                <w:highlight w:val="none"/>
                <w:lang w:val="en-US" w:eastAsia="zh-CN"/>
              </w:rPr>
            </w:pPr>
            <w:r>
              <w:rPr>
                <w:rFonts w:hint="eastAsia"/>
                <w:highlight w:val="none"/>
                <w:lang w:val="en-US" w:eastAsia="zh-CN"/>
              </w:rPr>
              <w:t>第一条清单以分项工程固定综合单价计价法方式上报综合单价。</w:t>
            </w:r>
          </w:p>
          <w:p w14:paraId="1E2527BB">
            <w:pPr>
              <w:pStyle w:val="2"/>
              <w:numPr>
                <w:ilvl w:val="0"/>
                <w:numId w:val="1"/>
              </w:numPr>
              <w:spacing w:line="360" w:lineRule="auto"/>
              <w:rPr>
                <w:rFonts w:hint="eastAsia"/>
                <w:highlight w:val="none"/>
                <w:lang w:eastAsia="zh-CN"/>
              </w:rPr>
            </w:pPr>
            <w:r>
              <w:rPr>
                <w:rFonts w:hint="eastAsia"/>
                <w:highlight w:val="none"/>
                <w:lang w:eastAsia="zh-CN"/>
              </w:rPr>
              <w:t>第二条清单中暂以含税总价</w:t>
            </w:r>
            <w:r>
              <w:rPr>
                <w:rFonts w:hint="eastAsia"/>
                <w:highlight w:val="none"/>
                <w:lang w:val="en-US" w:eastAsia="zh-CN"/>
              </w:rPr>
              <w:t>200000.00元上报下浮率。</w:t>
            </w:r>
          </w:p>
          <w:p w14:paraId="3330F0FD">
            <w:pPr>
              <w:pStyle w:val="2"/>
              <w:numPr>
                <w:ilvl w:val="0"/>
                <w:numId w:val="1"/>
              </w:numPr>
              <w:spacing w:line="360" w:lineRule="auto"/>
              <w:rPr>
                <w:rFonts w:hint="default"/>
                <w:highlight w:val="none"/>
                <w:lang w:val="en-US" w:eastAsia="zh-CN"/>
              </w:rPr>
            </w:pPr>
            <w:r>
              <w:rPr>
                <w:rFonts w:hint="eastAsia"/>
                <w:highlight w:val="none"/>
                <w:lang w:eastAsia="zh-CN"/>
              </w:rPr>
              <w:t>第</w:t>
            </w:r>
            <w:r>
              <w:rPr>
                <w:rFonts w:hint="eastAsia"/>
                <w:highlight w:val="none"/>
                <w:lang w:val="en-US" w:eastAsia="zh-CN"/>
              </w:rPr>
              <w:t>三</w:t>
            </w:r>
            <w:r>
              <w:rPr>
                <w:rFonts w:hint="eastAsia"/>
                <w:highlight w:val="none"/>
                <w:lang w:eastAsia="zh-CN"/>
              </w:rPr>
              <w:t>条清单中暂以含税总价</w:t>
            </w:r>
            <w:r>
              <w:rPr>
                <w:rFonts w:hint="eastAsia"/>
                <w:highlight w:val="none"/>
                <w:lang w:val="en-US" w:eastAsia="zh-CN"/>
              </w:rPr>
              <w:t>150000.00元上报下浮率。</w:t>
            </w:r>
          </w:p>
          <w:p w14:paraId="7EF7C0AB">
            <w:pPr>
              <w:spacing w:line="360" w:lineRule="auto"/>
              <w:ind w:firstLine="420" w:firstLineChars="200"/>
              <w:jc w:val="left"/>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本项目计税方式确定为一般计税法。增值税税率为</w:t>
            </w:r>
            <w:r>
              <w:rPr>
                <w:rFonts w:hint="eastAsia"/>
                <w:sz w:val="21"/>
                <w:szCs w:val="21"/>
                <w:highlight w:val="none"/>
                <w:u w:val="single"/>
              </w:rPr>
              <w:t xml:space="preserve">  </w:t>
            </w:r>
            <w:r>
              <w:rPr>
                <w:rFonts w:hint="eastAsia"/>
                <w:sz w:val="21"/>
                <w:szCs w:val="21"/>
                <w:highlight w:val="none"/>
                <w:u w:val="single"/>
                <w:lang w:val="en-US" w:eastAsia="zh-CN"/>
              </w:rPr>
              <w:t xml:space="preserve">9 </w:t>
            </w:r>
            <w:r>
              <w:rPr>
                <w:rFonts w:hint="eastAsia"/>
                <w:sz w:val="21"/>
                <w:szCs w:val="21"/>
                <w:highlight w:val="none"/>
                <w:u w:val="single"/>
              </w:rPr>
              <w:t xml:space="preserve"> % </w:t>
            </w:r>
            <w:r>
              <w:rPr>
                <w:rFonts w:hint="eastAsia"/>
                <w:sz w:val="21"/>
                <w:szCs w:val="21"/>
                <w:highlight w:val="none"/>
              </w:rPr>
              <w:t>，中标单位应向招标单位提供增值税专用发票。</w:t>
            </w:r>
          </w:p>
          <w:p w14:paraId="1673BC1F">
            <w:pPr>
              <w:spacing w:line="360" w:lineRule="auto"/>
              <w:ind w:firstLine="420" w:firstLineChars="200"/>
              <w:jc w:val="left"/>
              <w:rPr>
                <w:rFonts w:hint="eastAsia"/>
                <w:sz w:val="21"/>
                <w:szCs w:val="21"/>
                <w:highlight w:val="none"/>
              </w:rPr>
            </w:pPr>
            <w:r>
              <w:rPr>
                <w:rFonts w:hint="eastAsia"/>
                <w:sz w:val="21"/>
                <w:szCs w:val="21"/>
                <w:highlight w:val="none"/>
                <w:lang w:val="en-US" w:eastAsia="zh-CN"/>
              </w:rPr>
              <w:t>6</w:t>
            </w:r>
            <w:r>
              <w:rPr>
                <w:rFonts w:hint="eastAsia"/>
                <w:sz w:val="21"/>
                <w:szCs w:val="21"/>
                <w:highlight w:val="none"/>
              </w:rPr>
              <w:t>、预计工程量和预计总价不作为结算依据，最终按照实际</w:t>
            </w:r>
            <w:r>
              <w:rPr>
                <w:rFonts w:hint="eastAsia"/>
                <w:sz w:val="21"/>
                <w:szCs w:val="21"/>
                <w:highlight w:val="none"/>
                <w:lang w:eastAsia="zh-CN"/>
              </w:rPr>
              <w:t>现场完成的</w:t>
            </w:r>
            <w:r>
              <w:rPr>
                <w:rFonts w:hint="eastAsia"/>
                <w:sz w:val="21"/>
                <w:szCs w:val="21"/>
                <w:highlight w:val="none"/>
              </w:rPr>
              <w:t>工程量结算。</w:t>
            </w:r>
          </w:p>
          <w:p w14:paraId="07C2B5BD">
            <w:pPr>
              <w:spacing w:line="360" w:lineRule="auto"/>
              <w:ind w:firstLine="420" w:firstLineChars="200"/>
              <w:jc w:val="left"/>
              <w:rPr>
                <w:rFonts w:hint="eastAsia"/>
                <w:sz w:val="21"/>
                <w:szCs w:val="21"/>
                <w:highlight w:val="none"/>
              </w:rPr>
            </w:pPr>
            <w:r>
              <w:rPr>
                <w:rFonts w:hint="eastAsia"/>
                <w:sz w:val="21"/>
                <w:szCs w:val="21"/>
                <w:highlight w:val="none"/>
                <w:lang w:val="en-US" w:eastAsia="zh-CN"/>
              </w:rPr>
              <w:t>7</w:t>
            </w:r>
            <w:r>
              <w:rPr>
                <w:rFonts w:hint="eastAsia"/>
                <w:sz w:val="21"/>
                <w:szCs w:val="21"/>
                <w:highlight w:val="none"/>
              </w:rPr>
              <w:t>、合同总价已考虑风险，不再另行支付零星用工。以上内容要做到工完场清，若是由于中标单位原因，导致政府相关部门开具的罚款，由中标单位负责，同时中标单位要无偿配合招标单位提出关于环境污染采取的措施工作。</w:t>
            </w:r>
          </w:p>
          <w:p w14:paraId="41574551">
            <w:pPr>
              <w:spacing w:line="360" w:lineRule="auto"/>
              <w:ind w:firstLine="420" w:firstLineChars="200"/>
              <w:jc w:val="left"/>
              <w:rPr>
                <w:rFonts w:hint="eastAsia"/>
                <w:sz w:val="21"/>
                <w:szCs w:val="21"/>
                <w:highlight w:val="none"/>
              </w:rPr>
            </w:pPr>
            <w:r>
              <w:rPr>
                <w:rFonts w:hint="eastAsia"/>
                <w:sz w:val="21"/>
                <w:szCs w:val="21"/>
                <w:highlight w:val="none"/>
                <w:lang w:val="en-US" w:eastAsia="zh-CN"/>
              </w:rPr>
              <w:t>8</w:t>
            </w:r>
            <w:r>
              <w:rPr>
                <w:rFonts w:hint="eastAsia"/>
                <w:sz w:val="21"/>
                <w:szCs w:val="21"/>
                <w:highlight w:val="none"/>
              </w:rPr>
              <w:t>、中标单位应配合招标单位施工，若不服从管理招标单位有权扣款。</w:t>
            </w:r>
          </w:p>
          <w:p w14:paraId="33A0E75E">
            <w:pPr>
              <w:spacing w:line="360" w:lineRule="auto"/>
              <w:ind w:firstLine="420" w:firstLineChars="200"/>
              <w:jc w:val="left"/>
              <w:rPr>
                <w:rFonts w:hint="eastAsia"/>
                <w:sz w:val="21"/>
                <w:szCs w:val="21"/>
                <w:highlight w:val="none"/>
              </w:rPr>
            </w:pPr>
            <w:r>
              <w:rPr>
                <w:rFonts w:hint="eastAsia"/>
                <w:sz w:val="21"/>
                <w:szCs w:val="21"/>
                <w:highlight w:val="none"/>
                <w:lang w:val="en-US" w:eastAsia="zh-CN"/>
              </w:rPr>
              <w:t>9</w:t>
            </w:r>
            <w:r>
              <w:rPr>
                <w:rFonts w:hint="eastAsia"/>
                <w:sz w:val="21"/>
                <w:szCs w:val="21"/>
                <w:highlight w:val="none"/>
              </w:rPr>
              <w:t>、招标单位有对本工程增减工程量及变更工作内容的权利。</w:t>
            </w:r>
          </w:p>
          <w:p w14:paraId="761D520C">
            <w:pPr>
              <w:spacing w:line="360" w:lineRule="auto"/>
              <w:ind w:firstLine="420" w:firstLineChars="200"/>
              <w:jc w:val="left"/>
              <w:rPr>
                <w:rFonts w:hint="eastAsia" w:ascii="Times New Roman" w:hAnsi="Times New Roman" w:eastAsia="宋体" w:cs="Times New Roman"/>
                <w:sz w:val="21"/>
                <w:szCs w:val="21"/>
                <w:highlight w:val="none"/>
              </w:rPr>
            </w:pPr>
            <w:r>
              <w:rPr>
                <w:rFonts w:hint="eastAsia" w:cs="Times New Roman"/>
                <w:sz w:val="21"/>
                <w:szCs w:val="21"/>
                <w:highlight w:val="none"/>
                <w:lang w:val="en-US" w:eastAsia="zh-CN"/>
              </w:rPr>
              <w:t>10</w:t>
            </w:r>
            <w:r>
              <w:rPr>
                <w:rFonts w:hint="eastAsia" w:ascii="Times New Roman" w:hAnsi="Times New Roman" w:eastAsia="宋体" w:cs="Times New Roman"/>
                <w:sz w:val="21"/>
                <w:szCs w:val="21"/>
                <w:highlight w:val="none"/>
              </w:rPr>
              <w:t>、此工程施工过程中产生水、电费由中标单位负责。</w:t>
            </w:r>
          </w:p>
          <w:p w14:paraId="3A4D4AE5">
            <w:pPr>
              <w:spacing w:line="360" w:lineRule="auto"/>
              <w:ind w:firstLine="420" w:firstLineChars="200"/>
              <w:jc w:val="left"/>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11</w:t>
            </w:r>
            <w:r>
              <w:rPr>
                <w:rFonts w:hint="eastAsia" w:ascii="Times New Roman" w:hAnsi="Times New Roman" w:eastAsia="宋体" w:cs="Times New Roman"/>
                <w:sz w:val="21"/>
                <w:szCs w:val="21"/>
                <w:highlight w:val="none"/>
                <w:lang w:val="en-US" w:eastAsia="zh-CN"/>
              </w:rPr>
              <w:t xml:space="preserve">、中标单位供应的材料质量、品牌、尺寸、厚度、颜色、气密性、抗风压性能、辐射率、遮阳系数、传热系数、可见光透射比及耐火等级等必须符合建设单位、监理单位的要求，也必须满足施工合同、施工图纸、施工方案及图集的具体要求；否则由此造成的损失由中标单位承担。 </w:t>
            </w:r>
          </w:p>
          <w:p w14:paraId="19918801">
            <w:pPr>
              <w:spacing w:line="360" w:lineRule="auto"/>
              <w:ind w:firstLine="420" w:firstLineChars="200"/>
              <w:jc w:val="left"/>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12</w:t>
            </w:r>
            <w:r>
              <w:rPr>
                <w:rFonts w:hint="eastAsia" w:ascii="Times New Roman" w:hAnsi="Times New Roman" w:eastAsia="宋体" w:cs="Times New Roman"/>
                <w:sz w:val="21"/>
                <w:szCs w:val="21"/>
                <w:highlight w:val="none"/>
                <w:lang w:val="en-US" w:eastAsia="zh-CN"/>
              </w:rPr>
              <w:t>、防火材料、防火隔离带、</w:t>
            </w:r>
            <w:r>
              <w:rPr>
                <w:rFonts w:hint="eastAsia" w:cs="Times New Roman"/>
                <w:sz w:val="21"/>
                <w:szCs w:val="21"/>
                <w:highlight w:val="none"/>
                <w:lang w:val="en-US" w:eastAsia="zh-CN"/>
              </w:rPr>
              <w:t>防火封堵、防火隔离带、</w:t>
            </w:r>
            <w:r>
              <w:rPr>
                <w:rFonts w:hint="eastAsia" w:ascii="Times New Roman" w:hAnsi="Times New Roman" w:eastAsia="宋体" w:cs="Times New Roman"/>
                <w:sz w:val="21"/>
                <w:szCs w:val="21"/>
                <w:highlight w:val="none"/>
                <w:lang w:val="en-US" w:eastAsia="zh-CN"/>
              </w:rPr>
              <w:t>变形缝及转折线不计算工程量。</w:t>
            </w:r>
          </w:p>
          <w:p w14:paraId="3106D254">
            <w:pPr>
              <w:spacing w:line="360" w:lineRule="auto"/>
              <w:ind w:firstLine="420" w:firstLineChars="200"/>
              <w:jc w:val="left"/>
              <w:rPr>
                <w:rFonts w:hint="default"/>
                <w:sz w:val="22"/>
                <w:szCs w:val="28"/>
                <w:highlight w:val="none"/>
                <w:lang w:val="en-US" w:eastAsia="zh-CN"/>
              </w:rPr>
            </w:pPr>
            <w:r>
              <w:rPr>
                <w:rFonts w:hint="eastAsia" w:ascii="Times New Roman" w:hAnsi="Times New Roman" w:eastAsia="宋体" w:cs="Times New Roman"/>
                <w:sz w:val="21"/>
                <w:szCs w:val="21"/>
                <w:highlight w:val="none"/>
                <w:lang w:val="en-US" w:eastAsia="zh-CN"/>
              </w:rPr>
              <w:t>1</w:t>
            </w:r>
            <w:r>
              <w:rPr>
                <w:rFonts w:hint="eastAsia" w:cs="Times New Roman"/>
                <w:sz w:val="21"/>
                <w:szCs w:val="21"/>
                <w:highlight w:val="none"/>
                <w:lang w:val="en-US" w:eastAsia="zh-CN"/>
              </w:rPr>
              <w:t>3</w:t>
            </w:r>
            <w:r>
              <w:rPr>
                <w:rFonts w:hint="eastAsia" w:ascii="Times New Roman" w:hAnsi="Times New Roman" w:eastAsia="宋体" w:cs="Times New Roman"/>
                <w:sz w:val="21"/>
                <w:szCs w:val="21"/>
                <w:highlight w:val="none"/>
                <w:lang w:val="en-US" w:eastAsia="zh-CN"/>
              </w:rPr>
              <w:t>、以上单价包含机械的进出场费用及安装、倒运、检测费用等，不再单独计取。</w:t>
            </w:r>
          </w:p>
        </w:tc>
      </w:tr>
    </w:tbl>
    <w:p w14:paraId="2F2BABCF">
      <w:pPr>
        <w:spacing w:line="360" w:lineRule="auto"/>
        <w:rPr>
          <w:rFonts w:hint="eastAsia" w:asciiTheme="minorEastAsia" w:hAnsiTheme="minorEastAsia" w:eastAsiaTheme="minorEastAsia" w:cstheme="minorEastAsia"/>
          <w:sz w:val="24"/>
          <w:szCs w:val="24"/>
          <w:lang w:val="en-US" w:eastAsia="zh-CN"/>
        </w:rPr>
      </w:pPr>
      <w:bookmarkStart w:id="0" w:name="_GoBack"/>
      <w:bookmarkEnd w:id="0"/>
    </w:p>
    <w:p w14:paraId="29CA70DA">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投标人资格要求：</w:t>
      </w:r>
    </w:p>
    <w:p w14:paraId="7309AD81">
      <w:pPr>
        <w:ind w:left="210" w:leftChars="100" w:firstLine="331" w:firstLineChars="13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4.1</w:t>
      </w:r>
      <w:r>
        <w:rPr>
          <w:rFonts w:hint="eastAsia" w:asciiTheme="minorEastAsia" w:hAnsiTheme="minorEastAsia" w:eastAsiaTheme="minorEastAsia" w:cstheme="minorEastAsia"/>
          <w:color w:val="000000"/>
          <w:sz w:val="24"/>
          <w:szCs w:val="24"/>
        </w:rPr>
        <w:t>投标单位必须在陕建云采电子商务平台注册并通过审核（网址：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"http://sjtb.gldcg.com)。" </w:instrText>
      </w:r>
      <w:r>
        <w:rPr>
          <w:rFonts w:hint="eastAsia" w:asciiTheme="minorEastAsia" w:hAnsiTheme="minorEastAsia" w:eastAsiaTheme="minorEastAsia" w:cstheme="minorEastAsia"/>
          <w:sz w:val="24"/>
          <w:szCs w:val="24"/>
        </w:rPr>
        <w:fldChar w:fldCharType="separate"/>
      </w:r>
      <w:r>
        <w:rPr>
          <w:rStyle w:val="10"/>
          <w:rFonts w:hint="eastAsia" w:asciiTheme="minorEastAsia" w:hAnsiTheme="minorEastAsia" w:eastAsiaTheme="minorEastAsia" w:cstheme="minorEastAsia"/>
          <w:sz w:val="24"/>
          <w:szCs w:val="24"/>
        </w:rPr>
        <w:t>https://</w:t>
      </w:r>
      <w:r>
        <w:rPr>
          <w:rStyle w:val="10"/>
          <w:rFonts w:hint="eastAsia" w:asciiTheme="minorEastAsia" w:hAnsiTheme="minorEastAsia" w:eastAsiaTheme="minorEastAsia" w:cstheme="minorEastAsia"/>
          <w:sz w:val="24"/>
          <w:szCs w:val="24"/>
          <w:lang w:val="en-US" w:eastAsia="zh-CN"/>
        </w:rPr>
        <w:t>www.</w:t>
      </w:r>
      <w:r>
        <w:rPr>
          <w:rStyle w:val="10"/>
          <w:rFonts w:hint="eastAsia" w:asciiTheme="minorEastAsia" w:hAnsiTheme="minorEastAsia" w:eastAsiaTheme="minorEastAsia" w:cstheme="minorEastAsia"/>
          <w:sz w:val="24"/>
          <w:szCs w:val="24"/>
        </w:rPr>
        <w:t>.sjyunc.com</w:t>
      </w:r>
      <w:r>
        <w:rPr>
          <w:rStyle w:val="10"/>
          <w:rFonts w:hint="eastAsia" w:asciiTheme="minorEastAsia" w:hAnsiTheme="minorEastAsia" w:eastAsiaTheme="minorEastAsia" w:cstheme="minorEastAsia"/>
          <w:sz w:val="24"/>
          <w:szCs w:val="24"/>
          <w:lang w:val="en-US" w:eastAsia="zh-CN"/>
        </w:rPr>
        <w:t>)</w:t>
      </w:r>
      <w:r>
        <w:rPr>
          <w:rStyle w:val="10"/>
          <w:rFonts w:hint="eastAsia" w:asciiTheme="minorEastAsia" w:hAnsiTheme="minorEastAsia" w:eastAsiaTheme="minorEastAsia" w:cstheme="minorEastAsia"/>
          <w:sz w:val="24"/>
          <w:szCs w:val="24"/>
        </w:rPr>
        <w:t>。</w:t>
      </w:r>
      <w:r>
        <w:rPr>
          <w:rStyle w:val="10"/>
          <w:rFonts w:hint="eastAsia" w:asciiTheme="minorEastAsia" w:hAnsiTheme="minorEastAsia" w:eastAsiaTheme="minorEastAsia" w:cstheme="minorEastAsia"/>
          <w:sz w:val="24"/>
          <w:szCs w:val="24"/>
        </w:rPr>
        <w:fldChar w:fldCharType="end"/>
      </w:r>
    </w:p>
    <w:p w14:paraId="7AD5915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4.2企</w:t>
      </w:r>
      <w:r>
        <w:rPr>
          <w:rFonts w:hint="eastAsia" w:asciiTheme="minorEastAsia" w:hAnsiTheme="minorEastAsia" w:eastAsiaTheme="minorEastAsia" w:cstheme="minorEastAsia"/>
          <w:sz w:val="24"/>
          <w:szCs w:val="24"/>
          <w:highlight w:val="none"/>
        </w:rPr>
        <w:t>业法人营业执照</w:t>
      </w:r>
      <w:r>
        <w:rPr>
          <w:rFonts w:hint="eastAsia" w:asciiTheme="minorEastAsia" w:hAnsiTheme="minorEastAsia" w:eastAsiaTheme="minorEastAsia" w:cstheme="minorEastAsia"/>
          <w:sz w:val="24"/>
          <w:szCs w:val="24"/>
        </w:rPr>
        <w:t>；</w:t>
      </w:r>
    </w:p>
    <w:p w14:paraId="523E5B73">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4.3开户许可证;</w:t>
      </w:r>
    </w:p>
    <w:p w14:paraId="2EFD8205">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4.4近一年度财务报表;</w:t>
      </w:r>
    </w:p>
    <w:p w14:paraId="4287F322">
      <w:pPr>
        <w:spacing w:line="360" w:lineRule="auto"/>
        <w:ind w:firstLine="580" w:firstLineChars="24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4.5法人委托授权书及被委托人身份证</w:t>
      </w:r>
      <w:r>
        <w:rPr>
          <w:rFonts w:hint="eastAsia" w:asciiTheme="minorEastAsia" w:hAnsiTheme="minorEastAsia" w:eastAsiaTheme="minorEastAsia" w:cstheme="minorEastAsia"/>
          <w:sz w:val="24"/>
          <w:szCs w:val="24"/>
          <w:lang w:eastAsia="zh-CN"/>
        </w:rPr>
        <w:t>、法人身份证</w:t>
      </w:r>
      <w:r>
        <w:rPr>
          <w:rFonts w:hint="eastAsia" w:asciiTheme="minorEastAsia" w:hAnsiTheme="minorEastAsia" w:eastAsiaTheme="minorEastAsia" w:cstheme="minorEastAsia"/>
          <w:sz w:val="24"/>
          <w:szCs w:val="24"/>
        </w:rPr>
        <w:t>；</w:t>
      </w:r>
    </w:p>
    <w:p w14:paraId="50B668CF">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r>
        <w:rPr>
          <w:rFonts w:hint="eastAsia" w:asciiTheme="minorEastAsia" w:hAnsiTheme="minorEastAsia" w:eastAsiaTheme="minorEastAsia" w:cstheme="minorEastAsia"/>
          <w:sz w:val="24"/>
          <w:szCs w:val="24"/>
          <w:lang w:val="en-US" w:eastAsia="zh-CN"/>
        </w:rPr>
        <w:t>具</w:t>
      </w:r>
      <w:r>
        <w:rPr>
          <w:rFonts w:hint="eastAsia" w:ascii="宋体" w:hAnsi="宋体" w:eastAsia="宋体" w:cs="宋体"/>
          <w:color w:val="auto"/>
          <w:sz w:val="24"/>
          <w:highlight w:val="none"/>
          <w:lang w:val="en-US" w:eastAsia="zh-CN"/>
        </w:rPr>
        <w:t>备</w:t>
      </w:r>
      <w:r>
        <w:rPr>
          <w:rFonts w:hint="eastAsia" w:ascii="宋体" w:hAnsi="宋体" w:eastAsia="宋体" w:cs="宋体"/>
          <w:color w:val="auto"/>
          <w:sz w:val="24"/>
          <w:highlight w:val="none"/>
        </w:rPr>
        <w:t>建筑幕墙工程专业承包</w:t>
      </w:r>
      <w:r>
        <w:rPr>
          <w:rFonts w:hint="eastAsia" w:ascii="宋体" w:hAnsi="宋体" w:eastAsia="宋体" w:cs="宋体"/>
          <w:color w:val="auto"/>
          <w:sz w:val="24"/>
          <w:highlight w:val="none"/>
          <w:lang w:val="en-US" w:eastAsia="zh-CN"/>
        </w:rPr>
        <w:t>二级</w:t>
      </w:r>
      <w:r>
        <w:rPr>
          <w:rFonts w:hint="eastAsia" w:ascii="宋体" w:hAnsi="宋体" w:eastAsia="宋体" w:cs="宋体"/>
          <w:color w:val="auto"/>
          <w:sz w:val="24"/>
          <w:highlight w:val="none"/>
        </w:rPr>
        <w:t>工程施工资质</w:t>
      </w:r>
      <w:r>
        <w:rPr>
          <w:rFonts w:hint="eastAsia" w:asciiTheme="minorEastAsia" w:hAnsiTheme="minorEastAsia" w:eastAsiaTheme="minorEastAsia" w:cstheme="minorEastAsia"/>
          <w:sz w:val="24"/>
          <w:szCs w:val="24"/>
          <w:lang w:val="en-US" w:eastAsia="zh-CN"/>
        </w:rPr>
        <w:t>。</w:t>
      </w:r>
    </w:p>
    <w:p w14:paraId="11E556E3">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招标文件的获取：</w:t>
      </w:r>
    </w:p>
    <w:p w14:paraId="392F6109">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招标文件发放时间</w:t>
      </w:r>
      <w:r>
        <w:rPr>
          <w:rFonts w:hint="eastAsia" w:asciiTheme="minorEastAsia" w:hAnsiTheme="minorEastAsia" w:eastAsiaTheme="minorEastAsia" w:cstheme="minorEastAsia"/>
          <w:sz w:val="24"/>
          <w:szCs w:val="24"/>
          <w:lang w:val="en-US" w:eastAsia="zh-CN"/>
        </w:rPr>
        <w:t>以平台为准，请留意平台信息或联系招标管理员王星18091791906</w:t>
      </w:r>
      <w:r>
        <w:rPr>
          <w:rFonts w:hint="eastAsia" w:asciiTheme="minorEastAsia" w:hAnsiTheme="minorEastAsia" w:eastAsiaTheme="minorEastAsia" w:cstheme="minorEastAsia"/>
          <w:sz w:val="24"/>
          <w:szCs w:val="24"/>
        </w:rPr>
        <w:t>；招标文件发放为陕建云采集采招标平台。</w:t>
      </w:r>
    </w:p>
    <w:p w14:paraId="3DB23CDA">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6、投标文件递交截止时间和开标时间：电话另行通知，投标文件应予投标截止日前完成网投。</w:t>
      </w:r>
    </w:p>
    <w:p w14:paraId="5EA54B87">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7、开标地点：陕建云采集</w:t>
      </w:r>
      <w:r>
        <w:rPr>
          <w:rFonts w:hint="eastAsia" w:asciiTheme="minorEastAsia" w:hAnsiTheme="minorEastAsia" w:eastAsiaTheme="minorEastAsia" w:cstheme="minorEastAsia"/>
          <w:sz w:val="24"/>
          <w:szCs w:val="24"/>
          <w:u w:val="none"/>
        </w:rPr>
        <w:t>采招标平台(</w:t>
      </w:r>
      <w:r>
        <w:rPr>
          <w:rFonts w:hint="eastAsia" w:asciiTheme="minorEastAsia" w:hAnsiTheme="minorEastAsia" w:eastAsiaTheme="minorEastAsia" w:cstheme="minorEastAsia"/>
          <w:sz w:val="24"/>
          <w:szCs w:val="24"/>
        </w:rPr>
        <w:t>投标截止日之后送达或不符合规定的投标文件将被拒绝)。</w:t>
      </w:r>
    </w:p>
    <w:p w14:paraId="511EDBA2">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 </w:t>
      </w:r>
      <w:r>
        <w:rPr>
          <w:rFonts w:hint="eastAsia" w:asciiTheme="minorEastAsia" w:hAnsiTheme="minorEastAsia" w:eastAsiaTheme="minorEastAsia" w:cstheme="minorEastAsia"/>
          <w:sz w:val="24"/>
          <w:szCs w:val="24"/>
          <w:lang w:val="en-US" w:eastAsia="zh-CN"/>
        </w:rPr>
        <w:t>标书费</w:t>
      </w:r>
      <w:r>
        <w:rPr>
          <w:rFonts w:hint="eastAsia" w:asciiTheme="minorEastAsia" w:hAnsiTheme="minorEastAsia" w:eastAsiaTheme="minorEastAsia" w:cstheme="minorEastAsia"/>
          <w:sz w:val="24"/>
          <w:szCs w:val="24"/>
        </w:rPr>
        <w:t>缴纳方式：资格预审通过后，</w:t>
      </w:r>
      <w:r>
        <w:rPr>
          <w:rFonts w:hint="eastAsia" w:asciiTheme="minorEastAsia" w:hAnsiTheme="minorEastAsia" w:eastAsiaTheme="minorEastAsia" w:cstheme="minorEastAsia"/>
          <w:sz w:val="24"/>
          <w:szCs w:val="24"/>
          <w:lang w:val="en-US" w:eastAsia="zh-CN"/>
        </w:rPr>
        <w:t>各单位需缴纳标书费500.00元，</w:t>
      </w:r>
      <w:r>
        <w:rPr>
          <w:rFonts w:hint="eastAsia" w:asciiTheme="minorEastAsia" w:hAnsiTheme="minorEastAsia" w:eastAsiaTheme="minorEastAsia" w:cstheme="minorEastAsia"/>
          <w:sz w:val="24"/>
          <w:szCs w:val="24"/>
        </w:rPr>
        <w:t>领招标文件前，</w:t>
      </w:r>
      <w:r>
        <w:rPr>
          <w:rFonts w:hint="eastAsia" w:asciiTheme="minorEastAsia" w:hAnsiTheme="minorEastAsia" w:eastAsiaTheme="minorEastAsia" w:cstheme="minorEastAsia"/>
          <w:sz w:val="24"/>
          <w:szCs w:val="24"/>
          <w:lang w:val="en-US" w:eastAsia="zh-CN"/>
        </w:rPr>
        <w:t>以公对公/现金形式</w:t>
      </w:r>
      <w:r>
        <w:rPr>
          <w:rFonts w:hint="eastAsia" w:asciiTheme="minorEastAsia" w:hAnsiTheme="minorEastAsia" w:eastAsiaTheme="minorEastAsia" w:cstheme="minorEastAsia"/>
          <w:sz w:val="24"/>
          <w:szCs w:val="24"/>
        </w:rPr>
        <w:t>向招标人项目所隶属的财务部缴纳。</w:t>
      </w:r>
    </w:p>
    <w:p w14:paraId="174F635D">
      <w:pPr>
        <w:spacing w:line="360" w:lineRule="auto"/>
        <w:ind w:firstLine="580" w:firstLineChars="242"/>
        <w:rPr>
          <w:rFonts w:hint="eastAsia" w:ascii="宋体" w:hAnsi="宋体"/>
          <w:color w:val="auto"/>
          <w:sz w:val="24"/>
        </w:rPr>
      </w:pPr>
      <w:r>
        <w:rPr>
          <w:rFonts w:hint="eastAsia" w:asciiTheme="minorEastAsia" w:hAnsiTheme="minorEastAsia" w:eastAsiaTheme="minorEastAsia" w:cstheme="minorEastAsia"/>
          <w:sz w:val="24"/>
          <w:szCs w:val="24"/>
        </w:rPr>
        <w:t>未按时交纳</w:t>
      </w:r>
      <w:r>
        <w:rPr>
          <w:rFonts w:hint="eastAsia" w:asciiTheme="minorEastAsia" w:hAnsiTheme="minorEastAsia" w:eastAsiaTheme="minorEastAsia" w:cstheme="minorEastAsia"/>
          <w:sz w:val="24"/>
          <w:szCs w:val="24"/>
          <w:lang w:val="en-US" w:eastAsia="zh-CN"/>
        </w:rPr>
        <w:t>标书费</w:t>
      </w:r>
      <w:r>
        <w:rPr>
          <w:rFonts w:hint="eastAsia" w:asciiTheme="minorEastAsia" w:hAnsiTheme="minorEastAsia" w:eastAsiaTheme="minorEastAsia" w:cstheme="minorEastAsia"/>
          <w:sz w:val="24"/>
          <w:szCs w:val="24"/>
        </w:rPr>
        <w:t>的单</w:t>
      </w:r>
      <w:r>
        <w:rPr>
          <w:rFonts w:hint="eastAsia" w:ascii="宋体" w:hAnsi="宋体"/>
          <w:color w:val="auto"/>
          <w:sz w:val="24"/>
        </w:rPr>
        <w:t>位，招标人将拒绝其参与投标。</w:t>
      </w:r>
    </w:p>
    <w:p w14:paraId="7810DECB">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highlight w:val="none"/>
        </w:rPr>
        <w:t>本工程为</w:t>
      </w:r>
      <w:r>
        <w:rPr>
          <w:rFonts w:hint="eastAsia" w:asciiTheme="minorEastAsia" w:hAnsiTheme="minorEastAsia" w:eastAsiaTheme="minorEastAsia" w:cstheme="minorEastAsia"/>
          <w:sz w:val="24"/>
          <w:szCs w:val="24"/>
          <w:highlight w:val="none"/>
          <w:lang w:val="en-US" w:eastAsia="zh-CN"/>
        </w:rPr>
        <w:t>分包</w:t>
      </w:r>
      <w:r>
        <w:rPr>
          <w:rFonts w:hint="eastAsia" w:asciiTheme="minorEastAsia" w:hAnsiTheme="minorEastAsia" w:eastAsiaTheme="minorEastAsia" w:cstheme="minorEastAsia"/>
          <w:sz w:val="24"/>
          <w:szCs w:val="24"/>
          <w:highlight w:val="none"/>
        </w:rPr>
        <w:t>招标，我公司不接受以联合体投标的形式。</w:t>
      </w:r>
    </w:p>
    <w:p w14:paraId="2EAC5D7A">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10、 联系方式： 招标</w:t>
      </w:r>
      <w:r>
        <w:rPr>
          <w:rFonts w:hint="eastAsia" w:asciiTheme="minorEastAsia" w:hAnsiTheme="minorEastAsia" w:eastAsiaTheme="minorEastAsia" w:cstheme="minorEastAsia"/>
          <w:sz w:val="24"/>
          <w:szCs w:val="24"/>
          <w:highlight w:val="none"/>
        </w:rPr>
        <w:t>人：</w:t>
      </w:r>
      <w:r>
        <w:rPr>
          <w:rFonts w:hint="eastAsia" w:asciiTheme="minorEastAsia" w:hAnsiTheme="minorEastAsia" w:eastAsiaTheme="minorEastAsia" w:cstheme="minorEastAsia"/>
          <w:sz w:val="24"/>
          <w:szCs w:val="24"/>
          <w:highlight w:val="none"/>
          <w:lang w:val="en-US" w:eastAsia="zh-CN"/>
        </w:rPr>
        <w:t>柞水县人民医院门诊医技楼综合项目</w:t>
      </w:r>
    </w:p>
    <w:p w14:paraId="0E7A3924">
      <w:pPr>
        <w:spacing w:line="360" w:lineRule="auto"/>
        <w:ind w:firstLine="580" w:firstLineChars="2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val="en-US" w:eastAsia="zh-CN"/>
        </w:rPr>
        <w:t>柞水县人民医院院内</w:t>
      </w:r>
    </w:p>
    <w:p w14:paraId="06A21F9A">
      <w:pPr>
        <w:spacing w:line="360" w:lineRule="auto"/>
        <w:ind w:firstLine="580" w:firstLineChars="242"/>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王星</w:t>
      </w:r>
    </w:p>
    <w:p w14:paraId="5090CE87">
      <w:pPr>
        <w:spacing w:line="360" w:lineRule="auto"/>
        <w:ind w:firstLine="580" w:firstLineChars="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180917919</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rPr>
        <w:t xml:space="preserve">         </w:t>
      </w:r>
    </w:p>
    <w:p w14:paraId="4ACD586E">
      <w:pPr>
        <w:spacing w:line="360" w:lineRule="auto"/>
        <w:ind w:left="4830" w:hanging="5520" w:hangingChars="2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陕西</w:t>
      </w:r>
      <w:r>
        <w:rPr>
          <w:rFonts w:hint="eastAsia" w:asciiTheme="minorEastAsia" w:hAnsiTheme="minorEastAsia" w:eastAsiaTheme="minorEastAsia" w:cstheme="minorEastAsia"/>
          <w:sz w:val="24"/>
          <w:szCs w:val="24"/>
          <w:lang w:eastAsia="zh-CN"/>
        </w:rPr>
        <w:t>建工集团股份有限公司工程三部</w:t>
      </w:r>
      <w:r>
        <w:rPr>
          <w:rFonts w:hint="eastAsia" w:asciiTheme="minorEastAsia" w:hAnsiTheme="minorEastAsia" w:eastAsiaTheme="minorEastAsia" w:cstheme="minorEastAsia"/>
          <w:sz w:val="24"/>
          <w:szCs w:val="24"/>
        </w:rPr>
        <w:t xml:space="preserve"> </w:t>
      </w:r>
    </w:p>
    <w:p w14:paraId="624C93D2">
      <w:pPr>
        <w:spacing w:line="360" w:lineRule="auto"/>
        <w:ind w:left="4830" w:hanging="5520" w:hangingChars="23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柞水县人民医院门诊医技楼综合项目</w:t>
      </w:r>
      <w:r>
        <w:rPr>
          <w:rFonts w:hint="eastAsia" w:asciiTheme="minorEastAsia" w:hAnsiTheme="minorEastAsia" w:eastAsiaTheme="minorEastAsia" w:cstheme="minorEastAsia"/>
          <w:sz w:val="24"/>
          <w:szCs w:val="24"/>
          <w:lang w:eastAsia="zh-CN"/>
        </w:rPr>
        <w:t>经</w:t>
      </w:r>
      <w:r>
        <w:rPr>
          <w:rFonts w:hint="eastAsia" w:asciiTheme="minorEastAsia" w:hAnsiTheme="minorEastAsia" w:eastAsiaTheme="minorEastAsia" w:cstheme="minorEastAsia"/>
          <w:sz w:val="24"/>
          <w:szCs w:val="24"/>
        </w:rPr>
        <w:t xml:space="preserve">理部                                     </w:t>
      </w:r>
    </w:p>
    <w:p w14:paraId="796CB10E">
      <w:pPr>
        <w:spacing w:line="360" w:lineRule="auto"/>
        <w:ind w:left="4830" w:hanging="5520" w:hangingChars="23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2026年5月26日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长城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DF9CD"/>
    <w:multiLevelType w:val="singleLevel"/>
    <w:tmpl w:val="51BDF9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TY0NTU5MWQ2YTM2NWU3NjM5M2JmYThkM2U4YWQifQ=="/>
  </w:docVars>
  <w:rsids>
    <w:rsidRoot w:val="00000000"/>
    <w:rsid w:val="07DF692A"/>
    <w:rsid w:val="080C7D7C"/>
    <w:rsid w:val="17047A5D"/>
    <w:rsid w:val="1AD31C39"/>
    <w:rsid w:val="1D6D0F22"/>
    <w:rsid w:val="1EEA2E2A"/>
    <w:rsid w:val="244D0378"/>
    <w:rsid w:val="2A3915A1"/>
    <w:rsid w:val="31CF4A6C"/>
    <w:rsid w:val="3291437A"/>
    <w:rsid w:val="3FA04083"/>
    <w:rsid w:val="3FDC7C1A"/>
    <w:rsid w:val="418851BB"/>
    <w:rsid w:val="44B1130C"/>
    <w:rsid w:val="4F861BFA"/>
    <w:rsid w:val="505479DB"/>
    <w:rsid w:val="5778140B"/>
    <w:rsid w:val="5F0F26A4"/>
    <w:rsid w:val="62EF6A7F"/>
    <w:rsid w:val="68206C39"/>
    <w:rsid w:val="6AC61008"/>
    <w:rsid w:val="70553DF8"/>
    <w:rsid w:val="7835127A"/>
    <w:rsid w:val="7B342B62"/>
    <w:rsid w:val="7C247FB7"/>
    <w:rsid w:val="7D817A70"/>
    <w:rsid w:val="7E11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200" w:firstLineChars="200"/>
    </w:pPr>
    <w:rPr>
      <w:sz w:val="24"/>
    </w:rPr>
  </w:style>
  <w:style w:type="paragraph" w:styleId="3">
    <w:name w:val="Document Map"/>
    <w:basedOn w:val="1"/>
    <w:unhideWhenUsed/>
    <w:qFormat/>
    <w:uiPriority w:val="99"/>
  </w:style>
  <w:style w:type="paragraph" w:styleId="4">
    <w:name w:val="Body Text"/>
    <w:basedOn w:val="1"/>
    <w:qFormat/>
    <w:uiPriority w:val="0"/>
    <w:rPr>
      <w:rFonts w:eastAsia="长城黑体"/>
      <w:sz w:val="44"/>
      <w:szCs w:val="20"/>
    </w:rPr>
  </w:style>
  <w:style w:type="paragraph" w:styleId="5">
    <w:name w:val="Body Text Indent"/>
    <w:basedOn w:val="1"/>
    <w:next w:val="6"/>
    <w:qFormat/>
    <w:uiPriority w:val="0"/>
    <w:pPr>
      <w:widowControl/>
      <w:spacing w:after="120"/>
      <w:ind w:left="420" w:leftChars="200"/>
      <w:jc w:val="left"/>
    </w:pPr>
    <w:rPr>
      <w:kern w:val="0"/>
      <w:sz w:val="20"/>
      <w:szCs w:val="20"/>
    </w:rPr>
  </w:style>
  <w:style w:type="paragraph" w:styleId="6">
    <w:name w:val="Body Text First Indent 2"/>
    <w:basedOn w:val="5"/>
    <w:qFormat/>
    <w:uiPriority w:val="0"/>
    <w:pPr>
      <w:ind w:firstLine="420" w:firstLine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99"/>
    <w:rPr>
      <w:color w:val="0000FF"/>
      <w:u w:val="single"/>
    </w:rPr>
  </w:style>
  <w:style w:type="paragraph" w:customStyle="1" w:styleId="11">
    <w:name w:val="Char"/>
    <w:basedOn w:val="1"/>
    <w:qFormat/>
    <w:uiPriority w:val="0"/>
    <w:pPr>
      <w:widowControl/>
      <w:spacing w:line="240" w:lineRule="exact"/>
      <w:jc w:val="left"/>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1596</Words>
  <Characters>1746</Characters>
  <Lines>0</Lines>
  <Paragraphs>0</Paragraphs>
  <TotalTime>0</TotalTime>
  <ScaleCrop>false</ScaleCrop>
  <LinksUpToDate>false</LinksUpToDate>
  <CharactersWithSpaces>1943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伟</cp:lastModifiedBy>
  <dcterms:modified xsi:type="dcterms:W3CDTF">2026-05-28T01:13:46Z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75ED8E38E9954B8AAF1C367A46DA5667</vt:lpwstr>
  </property>
  <property fmtid="{D5CDD505-2E9C-101B-9397-08002B2CF9AE}" pid="4" name="KSOTemplateDocerSaveRecord">
    <vt:lpwstr>eyJoZGlkIjoiYjU5N2Q5MzQwZjNhZTZlOTlmZTFmYWM1YjI2N2UxNDAiLCJ1c2VySWQiOiIyNTc5ODE4MzgifQ==</vt:lpwstr>
  </property>
</Properties>
</file>